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C938" w14:textId="77777777"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bookmarkStart w:id="0" w:name="_GoBack"/>
      <w:bookmarkEnd w:id="0"/>
      <w:r w:rsidRPr="003023FC">
        <w:rPr>
          <w:rFonts w:ascii="Times New Roman" w:eastAsia="Times New Roman" w:hAnsi="Times New Roman" w:cs="Times New Roman"/>
          <w:b/>
          <w:bCs/>
          <w:sz w:val="24"/>
          <w:szCs w:val="24"/>
          <w:lang w:val="tr-TR"/>
        </w:rPr>
        <w:t>2025 NATIONAL TRADE ESTIMATE REPORT ON FOREIGN TRADE BARRIERS</w:t>
      </w:r>
    </w:p>
    <w:p w14:paraId="377B2536" w14:textId="77777777"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TÜRKİYE</w:t>
      </w:r>
    </w:p>
    <w:p w14:paraId="0A4F677B"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 xml:space="preserve">İthalat Politikaları </w:t>
      </w:r>
    </w:p>
    <w:p w14:paraId="23418B83"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Türkiye'nin son yıllarda uyguladığı ithalat politikalarında dikkat çeken bir gelişme, 2023 yılı itibarıyla ortalama MFN gümrük </w:t>
      </w:r>
      <w:r w:rsidR="00DD3EDB" w:rsidRPr="003023FC">
        <w:rPr>
          <w:rFonts w:ascii="Times New Roman" w:eastAsia="Times New Roman" w:hAnsi="Times New Roman" w:cs="Times New Roman"/>
          <w:sz w:val="24"/>
          <w:szCs w:val="24"/>
          <w:lang w:val="tr-TR"/>
        </w:rPr>
        <w:t>vergisi</w:t>
      </w:r>
      <w:r w:rsidRPr="003023FC">
        <w:rPr>
          <w:rFonts w:ascii="Times New Roman" w:eastAsia="Times New Roman" w:hAnsi="Times New Roman" w:cs="Times New Roman"/>
          <w:sz w:val="24"/>
          <w:szCs w:val="24"/>
          <w:lang w:val="tr-TR"/>
        </w:rPr>
        <w:t xml:space="preserve"> oranının %16,2’ye yükselmiş olmasıdır. Tarım ürünlerinde bu oran %39,8’e kadar çıkarken, tarım dışı ürünlerde %12,5</w:t>
      </w:r>
      <w:r w:rsidR="00DD3EDB" w:rsidRPr="003023FC">
        <w:rPr>
          <w:rFonts w:ascii="Times New Roman" w:eastAsia="Times New Roman" w:hAnsi="Times New Roman" w:cs="Times New Roman"/>
          <w:sz w:val="24"/>
          <w:szCs w:val="24"/>
          <w:lang w:val="tr-TR"/>
        </w:rPr>
        <w:t>’dir</w:t>
      </w:r>
      <w:r w:rsidRPr="003023FC">
        <w:rPr>
          <w:rFonts w:ascii="Times New Roman" w:eastAsia="Times New Roman" w:hAnsi="Times New Roman" w:cs="Times New Roman"/>
          <w:sz w:val="24"/>
          <w:szCs w:val="24"/>
          <w:lang w:val="tr-TR"/>
        </w:rPr>
        <w:t xml:space="preserve">. Türkiye’nin DTÖ’ye bildirdiği bağlı oranlar ile </w:t>
      </w:r>
      <w:r w:rsidR="00DD3EDB" w:rsidRPr="003023FC">
        <w:rPr>
          <w:rFonts w:ascii="Times New Roman" w:eastAsia="Times New Roman" w:hAnsi="Times New Roman" w:cs="Times New Roman"/>
          <w:sz w:val="24"/>
          <w:szCs w:val="24"/>
          <w:lang w:val="tr-TR"/>
        </w:rPr>
        <w:t>uyguladığı</w:t>
      </w:r>
      <w:r w:rsidRPr="003023FC">
        <w:rPr>
          <w:rFonts w:ascii="Times New Roman" w:eastAsia="Times New Roman" w:hAnsi="Times New Roman" w:cs="Times New Roman"/>
          <w:sz w:val="24"/>
          <w:szCs w:val="24"/>
          <w:lang w:val="tr-TR"/>
        </w:rPr>
        <w:t xml:space="preserve"> oranlar arasındaki fark, çeşitli sektörlerde tarifeleri artırmak amacıyla kullanıl</w:t>
      </w:r>
      <w:r w:rsidR="006837E6" w:rsidRPr="003023FC">
        <w:rPr>
          <w:rFonts w:ascii="Times New Roman" w:eastAsia="Times New Roman" w:hAnsi="Times New Roman" w:cs="Times New Roman"/>
          <w:sz w:val="24"/>
          <w:szCs w:val="24"/>
          <w:lang w:val="tr-TR"/>
        </w:rPr>
        <w:t xml:space="preserve">maktadır. </w:t>
      </w:r>
    </w:p>
    <w:p w14:paraId="2491F26A"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Gümrük Birliği </w:t>
      </w:r>
      <w:r w:rsidR="006837E6" w:rsidRPr="003023FC">
        <w:rPr>
          <w:rFonts w:ascii="Times New Roman" w:eastAsia="Times New Roman" w:hAnsi="Times New Roman" w:cs="Times New Roman"/>
          <w:sz w:val="24"/>
          <w:szCs w:val="24"/>
          <w:lang w:val="tr-TR"/>
        </w:rPr>
        <w:t xml:space="preserve">ve Serbest Ticaret Anlaşmaları </w:t>
      </w:r>
      <w:r w:rsidRPr="003023FC">
        <w:rPr>
          <w:rFonts w:ascii="Times New Roman" w:eastAsia="Times New Roman" w:hAnsi="Times New Roman" w:cs="Times New Roman"/>
          <w:sz w:val="24"/>
          <w:szCs w:val="24"/>
          <w:lang w:val="tr-TR"/>
        </w:rPr>
        <w:t xml:space="preserve">kapsamında AB ve </w:t>
      </w:r>
      <w:r w:rsidR="006837E6" w:rsidRPr="003023FC">
        <w:rPr>
          <w:rFonts w:ascii="Times New Roman" w:eastAsia="Times New Roman" w:hAnsi="Times New Roman" w:cs="Times New Roman"/>
          <w:sz w:val="24"/>
          <w:szCs w:val="24"/>
          <w:lang w:val="tr-TR"/>
        </w:rPr>
        <w:t xml:space="preserve">STA ortaklarından </w:t>
      </w:r>
      <w:r w:rsidR="00C63AF7" w:rsidRPr="003023FC">
        <w:rPr>
          <w:rFonts w:ascii="Times New Roman" w:eastAsia="Times New Roman" w:hAnsi="Times New Roman" w:cs="Times New Roman"/>
          <w:sz w:val="24"/>
          <w:szCs w:val="24"/>
          <w:lang w:val="tr-TR"/>
        </w:rPr>
        <w:t xml:space="preserve">ithal edilen </w:t>
      </w:r>
      <w:r w:rsidRPr="003023FC">
        <w:rPr>
          <w:rFonts w:ascii="Times New Roman" w:eastAsia="Times New Roman" w:hAnsi="Times New Roman" w:cs="Times New Roman"/>
          <w:sz w:val="24"/>
          <w:szCs w:val="24"/>
          <w:lang w:val="tr-TR"/>
        </w:rPr>
        <w:t xml:space="preserve">tarım dışı ürünler için gümrük vergisi </w:t>
      </w:r>
      <w:r w:rsidR="00DD3EDB" w:rsidRPr="003023FC">
        <w:rPr>
          <w:rFonts w:ascii="Times New Roman" w:eastAsia="Times New Roman" w:hAnsi="Times New Roman" w:cs="Times New Roman"/>
          <w:sz w:val="24"/>
          <w:szCs w:val="24"/>
          <w:lang w:val="tr-TR"/>
        </w:rPr>
        <w:t xml:space="preserve">uygulanmazken, üçüncü ülkelere </w:t>
      </w:r>
      <w:r w:rsidRPr="003023FC">
        <w:rPr>
          <w:rFonts w:ascii="Times New Roman" w:eastAsia="Times New Roman" w:hAnsi="Times New Roman" w:cs="Times New Roman"/>
          <w:sz w:val="24"/>
          <w:szCs w:val="24"/>
          <w:lang w:val="tr-TR"/>
        </w:rPr>
        <w:t xml:space="preserve">karşı AB Ortak Gümrük Tarifesi esas alınmakta, ancak hassas ürünlerde daha yüksek oranlar uygulanabilmektedir. Aralık 2023’te 4.000’den fazla ürüne %2 ila %30 arasında yeni </w:t>
      </w:r>
      <w:r w:rsidR="00DD3EDB" w:rsidRPr="003023FC">
        <w:rPr>
          <w:rFonts w:ascii="Times New Roman" w:eastAsia="Times New Roman" w:hAnsi="Times New Roman" w:cs="Times New Roman"/>
          <w:sz w:val="24"/>
          <w:szCs w:val="24"/>
          <w:lang w:val="tr-TR"/>
        </w:rPr>
        <w:t>ilave gümrük vergileri getirilmiştir. Türkiye, söz konusu ilave gümrük vergilerini AB</w:t>
      </w:r>
      <w:r w:rsidR="006837E6" w:rsidRPr="003023FC">
        <w:rPr>
          <w:rFonts w:ascii="Times New Roman" w:eastAsia="Times New Roman" w:hAnsi="Times New Roman" w:cs="Times New Roman"/>
          <w:sz w:val="24"/>
          <w:szCs w:val="24"/>
          <w:lang w:val="tr-TR"/>
        </w:rPr>
        <w:t xml:space="preserve">’den ve STA </w:t>
      </w:r>
      <w:r w:rsidR="003023FC" w:rsidRPr="003023FC">
        <w:rPr>
          <w:rFonts w:ascii="Times New Roman" w:eastAsia="Times New Roman" w:hAnsi="Times New Roman" w:cs="Times New Roman"/>
          <w:sz w:val="24"/>
          <w:szCs w:val="24"/>
          <w:lang w:val="tr-TR"/>
        </w:rPr>
        <w:t>ortaklarından, yaptığı</w:t>
      </w:r>
      <w:r w:rsidR="00DD3EDB" w:rsidRPr="003023FC">
        <w:rPr>
          <w:rFonts w:ascii="Times New Roman" w:eastAsia="Times New Roman" w:hAnsi="Times New Roman" w:cs="Times New Roman"/>
          <w:sz w:val="24"/>
          <w:szCs w:val="24"/>
          <w:lang w:val="tr-TR"/>
        </w:rPr>
        <w:t xml:space="preserve"> ithalat</w:t>
      </w:r>
      <w:r w:rsidR="006837E6" w:rsidRPr="003023FC">
        <w:rPr>
          <w:rFonts w:ascii="Times New Roman" w:eastAsia="Times New Roman" w:hAnsi="Times New Roman" w:cs="Times New Roman"/>
          <w:sz w:val="24"/>
          <w:szCs w:val="24"/>
          <w:lang w:val="tr-TR"/>
        </w:rPr>
        <w:t>t</w:t>
      </w:r>
      <w:r w:rsidR="00DD3EDB" w:rsidRPr="003023FC">
        <w:rPr>
          <w:rFonts w:ascii="Times New Roman" w:eastAsia="Times New Roman" w:hAnsi="Times New Roman" w:cs="Times New Roman"/>
          <w:sz w:val="24"/>
          <w:szCs w:val="24"/>
          <w:lang w:val="tr-TR"/>
        </w:rPr>
        <w:t>a uygulamamaktadır.</w:t>
      </w:r>
    </w:p>
    <w:p w14:paraId="0E0D8D79" w14:textId="77777777" w:rsidR="00DD3EDB"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2023 depremleri sonrası yerli üretimi korumak amacıyla bazı yassı çelik ürünlerine yönelik </w:t>
      </w:r>
      <w:r w:rsidR="00DD3EDB" w:rsidRPr="003023FC">
        <w:rPr>
          <w:rFonts w:ascii="Times New Roman" w:eastAsia="Times New Roman" w:hAnsi="Times New Roman" w:cs="Times New Roman"/>
          <w:sz w:val="24"/>
          <w:szCs w:val="24"/>
          <w:lang w:val="tr-TR"/>
        </w:rPr>
        <w:t>gümrük vergileri</w:t>
      </w:r>
      <w:r w:rsidRPr="003023FC">
        <w:rPr>
          <w:rFonts w:ascii="Times New Roman" w:eastAsia="Times New Roman" w:hAnsi="Times New Roman" w:cs="Times New Roman"/>
          <w:sz w:val="24"/>
          <w:szCs w:val="24"/>
          <w:lang w:val="tr-TR"/>
        </w:rPr>
        <w:t xml:space="preserve"> artırılmıştır. </w:t>
      </w:r>
    </w:p>
    <w:p w14:paraId="38F920F1"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Ayrıca Türkiye, ABD’nin 2018’de aldığı </w:t>
      </w:r>
      <w:proofErr w:type="spellStart"/>
      <w:r w:rsidR="00DD3EDB" w:rsidRPr="003023FC">
        <w:rPr>
          <w:rFonts w:ascii="Times New Roman" w:eastAsia="Times New Roman" w:hAnsi="Times New Roman" w:cs="Times New Roman"/>
          <w:sz w:val="24"/>
          <w:szCs w:val="24"/>
          <w:lang w:val="tr-TR"/>
        </w:rPr>
        <w:t>Section</w:t>
      </w:r>
      <w:proofErr w:type="spellEnd"/>
      <w:r w:rsidR="00DD3EDB" w:rsidRPr="003023FC">
        <w:rPr>
          <w:rFonts w:ascii="Times New Roman" w:eastAsia="Times New Roman" w:hAnsi="Times New Roman" w:cs="Times New Roman"/>
          <w:sz w:val="24"/>
          <w:szCs w:val="24"/>
          <w:lang w:val="tr-TR"/>
        </w:rPr>
        <w:t xml:space="preserve"> 232</w:t>
      </w:r>
      <w:r w:rsidRPr="003023FC">
        <w:rPr>
          <w:rFonts w:ascii="Times New Roman" w:eastAsia="Times New Roman" w:hAnsi="Times New Roman" w:cs="Times New Roman"/>
          <w:sz w:val="24"/>
          <w:szCs w:val="24"/>
          <w:lang w:val="tr-TR"/>
        </w:rPr>
        <w:t xml:space="preserve"> kapsamındaki önlemlere karşı</w:t>
      </w:r>
      <w:r w:rsidR="00DD3EDB" w:rsidRPr="003023FC">
        <w:rPr>
          <w:rFonts w:ascii="Times New Roman" w:eastAsia="Times New Roman" w:hAnsi="Times New Roman" w:cs="Times New Roman"/>
          <w:sz w:val="24"/>
          <w:szCs w:val="24"/>
          <w:lang w:val="tr-TR"/>
        </w:rPr>
        <w:t xml:space="preserve">lık olarak uyguladığı misillemeyi </w:t>
      </w:r>
      <w:r w:rsidRPr="003023FC">
        <w:rPr>
          <w:rFonts w:ascii="Times New Roman" w:eastAsia="Times New Roman" w:hAnsi="Times New Roman" w:cs="Times New Roman"/>
          <w:sz w:val="24"/>
          <w:szCs w:val="24"/>
          <w:lang w:val="tr-TR"/>
        </w:rPr>
        <w:t xml:space="preserve">sürdürmektedir. Bu kapsamda 479 ABD menşeli üründe </w:t>
      </w:r>
      <w:r w:rsidR="0052295B" w:rsidRPr="003023FC">
        <w:rPr>
          <w:rFonts w:ascii="Times New Roman" w:eastAsia="Times New Roman" w:hAnsi="Times New Roman" w:cs="Times New Roman"/>
          <w:sz w:val="24"/>
          <w:szCs w:val="24"/>
          <w:lang w:val="tr-TR"/>
        </w:rPr>
        <w:t xml:space="preserve">ilave vergiler yürürlüktedir. 2023 yılı </w:t>
      </w:r>
      <w:r w:rsidRPr="003023FC">
        <w:rPr>
          <w:rFonts w:ascii="Times New Roman" w:eastAsia="Times New Roman" w:hAnsi="Times New Roman" w:cs="Times New Roman"/>
          <w:sz w:val="24"/>
          <w:szCs w:val="24"/>
          <w:lang w:val="tr-TR"/>
        </w:rPr>
        <w:t>sonunda DTÖ Paneli bu misilleme vergilerinin DTÖ kurallarına aykırı olduğuna hükmetmiş, Türkiye kararı temyize götürmüştür.</w:t>
      </w:r>
    </w:p>
    <w:p w14:paraId="48718A0D"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Tarım </w:t>
      </w:r>
      <w:r w:rsidR="0052295B" w:rsidRPr="003023FC">
        <w:rPr>
          <w:rFonts w:ascii="Times New Roman" w:eastAsia="Times New Roman" w:hAnsi="Times New Roman" w:cs="Times New Roman"/>
          <w:sz w:val="24"/>
          <w:szCs w:val="24"/>
          <w:lang w:val="tr-TR"/>
        </w:rPr>
        <w:t>sektörü yüksek gümrük vergileri ile</w:t>
      </w:r>
      <w:r w:rsidRPr="003023FC">
        <w:rPr>
          <w:rFonts w:ascii="Times New Roman" w:eastAsia="Times New Roman" w:hAnsi="Times New Roman" w:cs="Times New Roman"/>
          <w:sz w:val="24"/>
          <w:szCs w:val="24"/>
          <w:lang w:val="tr-TR"/>
        </w:rPr>
        <w:t xml:space="preserve"> korunmakla birlikte, son yıllarda gıda enflasyonu ve arz </w:t>
      </w:r>
      <w:proofErr w:type="gramStart"/>
      <w:r w:rsidRPr="003023FC">
        <w:rPr>
          <w:rFonts w:ascii="Times New Roman" w:eastAsia="Times New Roman" w:hAnsi="Times New Roman" w:cs="Times New Roman"/>
          <w:sz w:val="24"/>
          <w:szCs w:val="24"/>
          <w:lang w:val="tr-TR"/>
        </w:rPr>
        <w:t>güvenliği</w:t>
      </w:r>
      <w:proofErr w:type="gramEnd"/>
      <w:r w:rsidRPr="003023FC">
        <w:rPr>
          <w:rFonts w:ascii="Times New Roman" w:eastAsia="Times New Roman" w:hAnsi="Times New Roman" w:cs="Times New Roman"/>
          <w:sz w:val="24"/>
          <w:szCs w:val="24"/>
          <w:lang w:val="tr-TR"/>
        </w:rPr>
        <w:t xml:space="preserve"> endişeleri nedeniyle buğday, mısır, arpa ve </w:t>
      </w:r>
      <w:proofErr w:type="spellStart"/>
      <w:r w:rsidRPr="003023FC">
        <w:rPr>
          <w:rFonts w:ascii="Times New Roman" w:eastAsia="Times New Roman" w:hAnsi="Times New Roman" w:cs="Times New Roman"/>
          <w:sz w:val="24"/>
          <w:szCs w:val="24"/>
          <w:lang w:val="tr-TR"/>
        </w:rPr>
        <w:t>ayçiçek</w:t>
      </w:r>
      <w:proofErr w:type="spellEnd"/>
      <w:r w:rsidRPr="003023FC">
        <w:rPr>
          <w:rFonts w:ascii="Times New Roman" w:eastAsia="Times New Roman" w:hAnsi="Times New Roman" w:cs="Times New Roman"/>
          <w:sz w:val="24"/>
          <w:szCs w:val="24"/>
          <w:lang w:val="tr-TR"/>
        </w:rPr>
        <w:t xml:space="preserve"> yağı gibi bazı temel ürünlerde </w:t>
      </w:r>
      <w:r w:rsidR="0052295B" w:rsidRPr="003023FC">
        <w:rPr>
          <w:rFonts w:ascii="Times New Roman" w:eastAsia="Times New Roman" w:hAnsi="Times New Roman" w:cs="Times New Roman"/>
          <w:sz w:val="24"/>
          <w:szCs w:val="24"/>
          <w:lang w:val="tr-TR"/>
        </w:rPr>
        <w:t>vergiler</w:t>
      </w:r>
      <w:r w:rsidRPr="003023FC">
        <w:rPr>
          <w:rFonts w:ascii="Times New Roman" w:eastAsia="Times New Roman" w:hAnsi="Times New Roman" w:cs="Times New Roman"/>
          <w:sz w:val="24"/>
          <w:szCs w:val="24"/>
          <w:lang w:val="tr-TR"/>
        </w:rPr>
        <w:t xml:space="preserve"> geçici olarak düşürülmüştür. 2024’te </w:t>
      </w:r>
      <w:r w:rsidR="0052295B" w:rsidRPr="003023FC">
        <w:rPr>
          <w:rFonts w:ascii="Times New Roman" w:eastAsia="Times New Roman" w:hAnsi="Times New Roman" w:cs="Times New Roman"/>
          <w:sz w:val="24"/>
          <w:szCs w:val="24"/>
          <w:lang w:val="tr-TR"/>
        </w:rPr>
        <w:t>ayçiçeği</w:t>
      </w:r>
      <w:r w:rsidRPr="003023FC">
        <w:rPr>
          <w:rFonts w:ascii="Times New Roman" w:eastAsia="Times New Roman" w:hAnsi="Times New Roman" w:cs="Times New Roman"/>
          <w:sz w:val="24"/>
          <w:szCs w:val="24"/>
          <w:lang w:val="tr-TR"/>
        </w:rPr>
        <w:t xml:space="preserve"> için düşük gümrüklü ithalat kotası ilan edilmiştir. Ceviz ve badem gibi ürünlerde ise vergi oranları artırılmış, ithalatçılar tarafından ödenen </w:t>
      </w:r>
      <w:r w:rsidR="0052295B" w:rsidRPr="003023FC">
        <w:rPr>
          <w:rFonts w:ascii="Times New Roman" w:eastAsia="Times New Roman" w:hAnsi="Times New Roman" w:cs="Times New Roman"/>
          <w:sz w:val="24"/>
          <w:szCs w:val="24"/>
          <w:lang w:val="tr-TR"/>
        </w:rPr>
        <w:t>ek mali yükümlülük (EMY)</w:t>
      </w:r>
      <w:r w:rsidRPr="003023FC">
        <w:rPr>
          <w:rFonts w:ascii="Times New Roman" w:eastAsia="Times New Roman" w:hAnsi="Times New Roman" w:cs="Times New Roman"/>
          <w:sz w:val="24"/>
          <w:szCs w:val="24"/>
          <w:lang w:val="tr-TR"/>
        </w:rPr>
        <w:t xml:space="preserve"> tutarlarında ciddi artışa gidilmiştir. ABD </w:t>
      </w:r>
      <w:r w:rsidR="00CB02BA" w:rsidRPr="003023FC">
        <w:rPr>
          <w:rFonts w:ascii="Times New Roman" w:eastAsia="Times New Roman" w:hAnsi="Times New Roman" w:cs="Times New Roman"/>
          <w:sz w:val="24"/>
          <w:szCs w:val="24"/>
          <w:lang w:val="tr-TR"/>
        </w:rPr>
        <w:t>paydaşları</w:t>
      </w:r>
      <w:r w:rsidRPr="003023FC">
        <w:rPr>
          <w:rFonts w:ascii="Times New Roman" w:eastAsia="Times New Roman" w:hAnsi="Times New Roman" w:cs="Times New Roman"/>
          <w:sz w:val="24"/>
          <w:szCs w:val="24"/>
          <w:lang w:val="tr-TR"/>
        </w:rPr>
        <w:t>, bu uygulamaların</w:t>
      </w:r>
      <w:r w:rsidRPr="003023FC">
        <w:rPr>
          <w:rFonts w:ascii="Times New Roman" w:eastAsia="Times New Roman" w:hAnsi="Times New Roman" w:cs="Times New Roman"/>
          <w:color w:val="FF0000"/>
          <w:sz w:val="24"/>
          <w:szCs w:val="24"/>
          <w:lang w:val="tr-TR"/>
        </w:rPr>
        <w:t xml:space="preserve"> </w:t>
      </w:r>
      <w:r w:rsidRPr="003023FC">
        <w:rPr>
          <w:rFonts w:ascii="Times New Roman" w:eastAsia="Times New Roman" w:hAnsi="Times New Roman" w:cs="Times New Roman"/>
          <w:sz w:val="24"/>
          <w:szCs w:val="24"/>
          <w:lang w:val="tr-TR"/>
        </w:rPr>
        <w:t xml:space="preserve">şeffaf olmaması ve ticarette </w:t>
      </w:r>
      <w:proofErr w:type="spellStart"/>
      <w:r w:rsidRPr="003023FC">
        <w:rPr>
          <w:rFonts w:ascii="Times New Roman" w:eastAsia="Times New Roman" w:hAnsi="Times New Roman" w:cs="Times New Roman"/>
          <w:sz w:val="24"/>
          <w:szCs w:val="24"/>
          <w:lang w:val="tr-TR"/>
        </w:rPr>
        <w:t>öngörülemezliğe</w:t>
      </w:r>
      <w:proofErr w:type="spellEnd"/>
      <w:r w:rsidRPr="003023FC">
        <w:rPr>
          <w:rFonts w:ascii="Times New Roman" w:eastAsia="Times New Roman" w:hAnsi="Times New Roman" w:cs="Times New Roman"/>
          <w:sz w:val="24"/>
          <w:szCs w:val="24"/>
          <w:lang w:val="tr-TR"/>
        </w:rPr>
        <w:t xml:space="preserve"> yol açması nedeniyle endişelerini sürdürmektedir.</w:t>
      </w:r>
    </w:p>
    <w:p w14:paraId="46CA0005"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ithal ürünler, yerli ürünler gibi KDV’ye tabidir. KDV oranı, malın CIF değeri, gümrük vergisi ve diğer </w:t>
      </w:r>
      <w:r w:rsidR="0052295B" w:rsidRPr="003023FC">
        <w:rPr>
          <w:rFonts w:ascii="Times New Roman" w:hAnsi="Times New Roman" w:cs="Times New Roman"/>
          <w:sz w:val="24"/>
          <w:szCs w:val="24"/>
          <w:lang w:val="tr-TR"/>
        </w:rPr>
        <w:t>masraflar</w:t>
      </w:r>
      <w:r w:rsidRPr="003023FC">
        <w:rPr>
          <w:rFonts w:ascii="Times New Roman" w:hAnsi="Times New Roman" w:cs="Times New Roman"/>
          <w:sz w:val="24"/>
          <w:szCs w:val="24"/>
          <w:lang w:val="tr-TR"/>
        </w:rPr>
        <w:t xml:space="preserve"> üzerinden hesaplanmakta olup, tarım ürünlerinde genellikle %1 ila %10 arasında değişmektedir. Bazı işlenmiş ürünlerde bu oran %20’ye kadar çıkabilmektedir. Sermaye malları, bazı hammaddeler ve </w:t>
      </w:r>
      <w:r w:rsidR="0052295B" w:rsidRPr="003023FC">
        <w:rPr>
          <w:rFonts w:ascii="Times New Roman" w:hAnsi="Times New Roman" w:cs="Times New Roman"/>
          <w:sz w:val="24"/>
          <w:szCs w:val="24"/>
          <w:lang w:val="tr-TR"/>
        </w:rPr>
        <w:t>yatırım teşvik belgesi kapsamında yatırım malları</w:t>
      </w:r>
      <w:r w:rsidRPr="003023FC">
        <w:rPr>
          <w:rFonts w:ascii="Times New Roman" w:hAnsi="Times New Roman" w:cs="Times New Roman"/>
          <w:sz w:val="24"/>
          <w:szCs w:val="24"/>
          <w:lang w:val="tr-TR"/>
        </w:rPr>
        <w:t xml:space="preserve"> vergiden muaftır.</w:t>
      </w:r>
    </w:p>
    <w:p w14:paraId="4E6F9DDA"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lüks tüketim malları ve belirli ürünlerde Özel Tüketim Vergisi (ÖTV) uygulanmaktadır. ÖTV ile KDV birlikte </w:t>
      </w:r>
      <w:r w:rsidR="0052295B" w:rsidRPr="003023FC">
        <w:rPr>
          <w:rFonts w:ascii="Times New Roman" w:hAnsi="Times New Roman" w:cs="Times New Roman"/>
          <w:sz w:val="24"/>
          <w:szCs w:val="24"/>
          <w:lang w:val="tr-TR"/>
        </w:rPr>
        <w:t>kamu</w:t>
      </w:r>
      <w:r w:rsidRPr="003023FC">
        <w:rPr>
          <w:rFonts w:ascii="Times New Roman" w:hAnsi="Times New Roman" w:cs="Times New Roman"/>
          <w:sz w:val="24"/>
          <w:szCs w:val="24"/>
          <w:lang w:val="tr-TR"/>
        </w:rPr>
        <w:t xml:space="preserve"> gelirlerinin büyük </w:t>
      </w:r>
      <w:r w:rsidR="0052295B" w:rsidRPr="003023FC">
        <w:rPr>
          <w:rFonts w:ascii="Times New Roman" w:hAnsi="Times New Roman" w:cs="Times New Roman"/>
          <w:sz w:val="24"/>
          <w:szCs w:val="24"/>
          <w:lang w:val="tr-TR"/>
        </w:rPr>
        <w:t xml:space="preserve">bir </w:t>
      </w:r>
      <w:r w:rsidRPr="003023FC">
        <w:rPr>
          <w:rFonts w:ascii="Times New Roman" w:hAnsi="Times New Roman" w:cs="Times New Roman"/>
          <w:sz w:val="24"/>
          <w:szCs w:val="24"/>
          <w:lang w:val="tr-TR"/>
        </w:rPr>
        <w:t xml:space="preserve">kısmını oluşturmaktadır. </w:t>
      </w:r>
      <w:r w:rsidR="0052295B" w:rsidRPr="003023FC">
        <w:rPr>
          <w:rFonts w:ascii="Times New Roman" w:hAnsi="Times New Roman" w:cs="Times New Roman"/>
          <w:sz w:val="24"/>
          <w:szCs w:val="24"/>
          <w:lang w:val="tr-TR"/>
        </w:rPr>
        <w:t xml:space="preserve">ÖTV ve KDV oranlarında ithal ürün veya içeride üretilmiş ürün ayrımı yapılmamakla birlikte, ÖTV oranı alkollü içkilerde ürün türüne göre değişiklik göstermektedir. </w:t>
      </w:r>
      <w:r w:rsidRPr="003023FC">
        <w:rPr>
          <w:rFonts w:ascii="Times New Roman" w:hAnsi="Times New Roman" w:cs="Times New Roman"/>
          <w:sz w:val="24"/>
          <w:szCs w:val="24"/>
          <w:lang w:val="tr-TR"/>
        </w:rPr>
        <w:t>Özellikle alkollü içeceklerde oldukça yüksek ÖTV oranları geçerli olup, bu oranlar her altı ayda bir gözden geçirilmektedir. ÖTV aynı zamanda akaryakıt, motorlu taşıtlar, uçak, gemi ve dayanıklı tüketim mallarına da uygulanmaktadır.</w:t>
      </w:r>
    </w:p>
    <w:p w14:paraId="2B078C76"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Kasım 2023’te elektrikli araçlar için motor gücü ve satış fiyatına göre değişen yeni ÖTV oranları belirlenmiştir. Yerli </w:t>
      </w:r>
      <w:r w:rsidR="0052295B" w:rsidRPr="003023FC">
        <w:rPr>
          <w:rFonts w:ascii="Times New Roman" w:hAnsi="Times New Roman" w:cs="Times New Roman"/>
          <w:sz w:val="24"/>
          <w:szCs w:val="24"/>
          <w:lang w:val="tr-TR"/>
        </w:rPr>
        <w:t>üretilen</w:t>
      </w:r>
      <w:r w:rsidRPr="003023FC">
        <w:rPr>
          <w:rFonts w:ascii="Times New Roman" w:hAnsi="Times New Roman" w:cs="Times New Roman"/>
          <w:sz w:val="24"/>
          <w:szCs w:val="24"/>
          <w:lang w:val="tr-TR"/>
        </w:rPr>
        <w:t xml:space="preserve"> TOGG, en düşük vergi dilimine giren az sayıdaki modelden biri olarak öne çıkmaktadır. Temmuz 2024’te </w:t>
      </w:r>
      <w:proofErr w:type="spellStart"/>
      <w:r w:rsidRPr="003023FC">
        <w:rPr>
          <w:rFonts w:ascii="Times New Roman" w:hAnsi="Times New Roman" w:cs="Times New Roman"/>
          <w:sz w:val="24"/>
          <w:szCs w:val="24"/>
          <w:lang w:val="tr-TR"/>
        </w:rPr>
        <w:t>plug</w:t>
      </w:r>
      <w:proofErr w:type="spellEnd"/>
      <w:r w:rsidRPr="003023FC">
        <w:rPr>
          <w:rFonts w:ascii="Times New Roman" w:hAnsi="Times New Roman" w:cs="Times New Roman"/>
          <w:sz w:val="24"/>
          <w:szCs w:val="24"/>
          <w:lang w:val="tr-TR"/>
        </w:rPr>
        <w:t xml:space="preserve">-in </w:t>
      </w:r>
      <w:proofErr w:type="spellStart"/>
      <w:r w:rsidRPr="003023FC">
        <w:rPr>
          <w:rFonts w:ascii="Times New Roman" w:hAnsi="Times New Roman" w:cs="Times New Roman"/>
          <w:sz w:val="24"/>
          <w:szCs w:val="24"/>
          <w:lang w:val="tr-TR"/>
        </w:rPr>
        <w:t>hibrit</w:t>
      </w:r>
      <w:proofErr w:type="spellEnd"/>
      <w:r w:rsidRPr="003023FC">
        <w:rPr>
          <w:rFonts w:ascii="Times New Roman" w:hAnsi="Times New Roman" w:cs="Times New Roman"/>
          <w:sz w:val="24"/>
          <w:szCs w:val="24"/>
          <w:lang w:val="tr-TR"/>
        </w:rPr>
        <w:t xml:space="preserve"> araçlara yönelik ÖTV oranlarında da indirime gidilmiştir.</w:t>
      </w:r>
    </w:p>
    <w:p w14:paraId="5BA463A8" w14:textId="77777777" w:rsidR="00F10B05" w:rsidRPr="003023FC" w:rsidRDefault="00F10B05"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Tarife Dışı Engeller</w:t>
      </w:r>
    </w:p>
    <w:p w14:paraId="4C90073C"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2015 yılından bu yana yürürlükte olan düzenleme ile yenilenmiş yedek parça ithalatı büyük ölçüde yasaklanmıştır. Bu durum, bilgisayar ekipmanları ve tıbbi cihazlar dahil olmak üzere çeşitli sektörleri etkilemektedir. Ayrıca inşaat makineleri, traktörler ve tarım ekipmanlarının üretildiği yıl içinde ithal edilme zorunluluğu sürmektedir. Bu uygulama, sipariş süreci uzun olan ABD menşeli makinelerin Türkiye’ye ihracatını sınırlamaktadır.</w:t>
      </w:r>
    </w:p>
    <w:p w14:paraId="4C727584"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2024 yılı Mayıs ayı itibarıyla Türkiye, Filistin’deki insani durum gerekçesiyle İsrail ile tüm ticari ilişkilerini durdurmuştur. ABD makamları, ABD vatandaşları/firmalarını, ürünlerinin İsrail menşeli olmadığı veya İsrail girdisi içermediği yönünde sertifika talepleri veya potansiyel boykot çağrılarına karşı dikkatli olmaları yönünde uyarmıştır.</w:t>
      </w:r>
    </w:p>
    <w:p w14:paraId="5E13384C"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6 Haziran 2024 tarihinde Türkiye, yurt içi buğday stok fazlalığı nedeniyle Dahilde İşleme Rejimi kapsamında buğday ithalatına yasak getirmiştir. Buna karşın, öğütülmüş buğday, makarnalık buğday ve arpaya yönelik ihracat serbestleştirilmiştir. Ekim 2024’te ise yasak kısmen kaldırılmış, sektörün ihtiyaç duyduğu buğdayın %15’ine kadar olan kısmının ithalatla, kalan kısmının ise Toprak Mahsulleri Ofisi (TMO) aracılığıyla yurtiçinden temin edilmesi şartı getirilmiştir. 31 Aralık 2024 itibarıyla, yasağın tamamen ne zaman kaldırılacağına dair herhangi bir resmi açıklama yapılmamıştır.</w:t>
      </w:r>
    </w:p>
    <w:p w14:paraId="2263924E" w14:textId="77777777" w:rsidR="001244D7" w:rsidRPr="003023FC" w:rsidRDefault="001244D7"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ABD’li firmalar, Türkiye’nin ithalat işlemlerinde talep ettiği belgelerin karmaşık ve şeffaf olmadığını, bu nedenle limanlarda sıkça gecikmeler yaşandığını bildirmektedir. Özellikle sanayi ve tarım ürünleri ihracatçıları, gümrüklerdeki kıymet tespitiyle ilgili belirsizliklerden </w:t>
      </w:r>
      <w:proofErr w:type="gramStart"/>
      <w:r w:rsidRPr="003023FC">
        <w:rPr>
          <w:rFonts w:ascii="Times New Roman" w:hAnsi="Times New Roman" w:cs="Times New Roman"/>
          <w:sz w:val="24"/>
          <w:szCs w:val="24"/>
          <w:lang w:val="tr-TR"/>
        </w:rPr>
        <w:t>şikayet</w:t>
      </w:r>
      <w:proofErr w:type="gramEnd"/>
      <w:r w:rsidRPr="003023FC">
        <w:rPr>
          <w:rFonts w:ascii="Times New Roman" w:hAnsi="Times New Roman" w:cs="Times New Roman"/>
          <w:sz w:val="24"/>
          <w:szCs w:val="24"/>
          <w:lang w:val="tr-TR"/>
        </w:rPr>
        <w:t xml:space="preserve"> etmektedir. Ayrıca, Ticaret Bakanlığı’nca, aralarında ceviz, badem ve ayçiçeği gibi 31 tarım ürününün yer aldığı ve her yıl yenilenmesi gereken ihracatçı kayıt sistemi uygulamakta olup, bu süreçte ihracatçılara yeterli rehberlik sağlanmadığı ifade edilmektedir.</w:t>
      </w:r>
    </w:p>
    <w:p w14:paraId="60F073E1" w14:textId="77777777" w:rsidR="001C257C" w:rsidRPr="003023FC" w:rsidRDefault="001C257C" w:rsidP="001C257C">
      <w:pPr>
        <w:keepNext/>
        <w:keepLines/>
        <w:spacing w:beforeLines="120" w:before="288" w:afterLines="120" w:after="288" w:line="23" w:lineRule="atLeast"/>
        <w:ind w:left="-5" w:hanging="10"/>
        <w:jc w:val="both"/>
        <w:outlineLvl w:val="0"/>
        <w:rPr>
          <w:rFonts w:ascii="Times New Roman" w:eastAsia="Times New Roman" w:hAnsi="Times New Roman" w:cs="Times New Roman"/>
          <w:b/>
          <w:color w:val="000000"/>
          <w:sz w:val="24"/>
          <w:lang w:val="tr-TR"/>
        </w:rPr>
      </w:pPr>
      <w:r w:rsidRPr="003023FC">
        <w:rPr>
          <w:rFonts w:ascii="Times New Roman" w:eastAsia="Times New Roman" w:hAnsi="Times New Roman" w:cs="Times New Roman"/>
          <w:b/>
          <w:color w:val="000000"/>
          <w:sz w:val="24"/>
          <w:lang w:val="tr-TR"/>
        </w:rPr>
        <w:t>Ticarette Teknik Engeller</w:t>
      </w:r>
    </w:p>
    <w:p w14:paraId="039A6BC3"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w:t>
      </w:r>
      <w:proofErr w:type="spellStart"/>
      <w:r w:rsidR="008362D3" w:rsidRPr="003023FC">
        <w:rPr>
          <w:rFonts w:ascii="Times New Roman" w:hAnsi="Times New Roman" w:cs="Times New Roman"/>
          <w:sz w:val="24"/>
          <w:szCs w:val="24"/>
          <w:lang w:val="tr-TR"/>
        </w:rPr>
        <w:t>biyoteknoloji</w:t>
      </w:r>
      <w:proofErr w:type="spellEnd"/>
      <w:r w:rsidR="008362D3" w:rsidRPr="003023FC">
        <w:rPr>
          <w:rFonts w:ascii="Times New Roman" w:hAnsi="Times New Roman" w:cs="Times New Roman"/>
          <w:sz w:val="24"/>
          <w:szCs w:val="24"/>
          <w:lang w:val="tr-TR"/>
        </w:rPr>
        <w:t xml:space="preserve"> </w:t>
      </w:r>
      <w:r w:rsidR="00310F3F" w:rsidRPr="003023FC">
        <w:rPr>
          <w:rFonts w:ascii="Times New Roman" w:hAnsi="Times New Roman" w:cs="Times New Roman"/>
          <w:sz w:val="24"/>
          <w:szCs w:val="24"/>
          <w:lang w:val="tr-TR"/>
        </w:rPr>
        <w:t>kullanılarak üretilmiş yemler</w:t>
      </w:r>
      <w:r w:rsidRPr="003023FC">
        <w:rPr>
          <w:rFonts w:ascii="Times New Roman" w:hAnsi="Times New Roman" w:cs="Times New Roman"/>
          <w:sz w:val="24"/>
          <w:szCs w:val="24"/>
          <w:lang w:val="tr-TR"/>
        </w:rPr>
        <w:t xml:space="preserve"> için 2010 tarihli </w:t>
      </w:r>
      <w:proofErr w:type="spellStart"/>
      <w:r w:rsidRPr="003023FC">
        <w:rPr>
          <w:rFonts w:ascii="Times New Roman" w:hAnsi="Times New Roman" w:cs="Times New Roman"/>
          <w:sz w:val="24"/>
          <w:szCs w:val="24"/>
          <w:lang w:val="tr-TR"/>
        </w:rPr>
        <w:t>Biyogüvenlik</w:t>
      </w:r>
      <w:proofErr w:type="spellEnd"/>
      <w:r w:rsidRPr="003023FC">
        <w:rPr>
          <w:rFonts w:ascii="Times New Roman" w:hAnsi="Times New Roman" w:cs="Times New Roman"/>
          <w:sz w:val="24"/>
          <w:szCs w:val="24"/>
          <w:lang w:val="tr-TR"/>
        </w:rPr>
        <w:t xml:space="preserve"> Kanunu kapsamında izlenebilirlik zorunluluğu sürmektedir. Tedarik zincirindeki tüm aktörlerin 20 yıl süreyle kayıt</w:t>
      </w:r>
      <w:r w:rsidR="00310F3F" w:rsidRPr="003023FC">
        <w:rPr>
          <w:rFonts w:ascii="Times New Roman" w:hAnsi="Times New Roman" w:cs="Times New Roman"/>
          <w:sz w:val="24"/>
          <w:szCs w:val="24"/>
          <w:lang w:val="tr-TR"/>
        </w:rPr>
        <w:t xml:space="preserve"> tutma yükümlülüğü bulunmakta</w:t>
      </w:r>
      <w:r w:rsidRPr="003023FC">
        <w:rPr>
          <w:rFonts w:ascii="Times New Roman" w:hAnsi="Times New Roman" w:cs="Times New Roman"/>
          <w:sz w:val="24"/>
          <w:szCs w:val="24"/>
          <w:lang w:val="tr-TR"/>
        </w:rPr>
        <w:t xml:space="preserve"> ve bu yükümlülüğe uymayanlar hakkında adli ve idari işlem </w:t>
      </w:r>
      <w:r w:rsidR="00310F3F" w:rsidRPr="003023FC">
        <w:rPr>
          <w:rFonts w:ascii="Times New Roman" w:hAnsi="Times New Roman" w:cs="Times New Roman"/>
          <w:sz w:val="24"/>
          <w:szCs w:val="24"/>
          <w:lang w:val="tr-TR"/>
        </w:rPr>
        <w:t>yapılmaktadır</w:t>
      </w:r>
      <w:r w:rsidRPr="003023FC">
        <w:rPr>
          <w:rFonts w:ascii="Times New Roman" w:hAnsi="Times New Roman" w:cs="Times New Roman"/>
          <w:sz w:val="24"/>
          <w:szCs w:val="24"/>
          <w:lang w:val="tr-TR"/>
        </w:rPr>
        <w:t>.</w:t>
      </w:r>
    </w:p>
    <w:p w14:paraId="5624D654"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İlaç ürünlerine ilişkin olarak, Türkiye’de 2010 yılınd</w:t>
      </w:r>
      <w:r w:rsidR="00310F3F" w:rsidRPr="003023FC">
        <w:rPr>
          <w:rFonts w:ascii="Times New Roman" w:hAnsi="Times New Roman" w:cs="Times New Roman"/>
          <w:sz w:val="24"/>
          <w:szCs w:val="24"/>
          <w:lang w:val="tr-TR"/>
        </w:rPr>
        <w:t>a yürürlüğe giren düzenleme ile</w:t>
      </w:r>
      <w:r w:rsidRPr="003023FC">
        <w:rPr>
          <w:rFonts w:ascii="Times New Roman" w:hAnsi="Times New Roman" w:cs="Times New Roman"/>
          <w:sz w:val="24"/>
          <w:szCs w:val="24"/>
          <w:lang w:val="tr-TR"/>
        </w:rPr>
        <w:t xml:space="preserve"> ruhsat alımı için üretim tesislerinin Sağlık Bakanlığı tarafından denetlenmesi ve İyi Üretim Uygulamaları (GMP) sertifikası alınması zorunlu hale gelmiştir. Bu uygulama, daha önce ihracatçı ülkelerdeki yetkili makamlarca (örneğin ABD FDA veya Avrupa İlaç Ajansı) yapılan denetimlerin geçerliliğini ortadan kaldırmış ve süreçte ciddi gecikmelere yol açmıştır. 2016’dan itibare</w:t>
      </w:r>
      <w:r w:rsidR="00310F3F" w:rsidRPr="003023FC">
        <w:rPr>
          <w:rFonts w:ascii="Times New Roman" w:hAnsi="Times New Roman" w:cs="Times New Roman"/>
          <w:sz w:val="24"/>
          <w:szCs w:val="24"/>
          <w:lang w:val="tr-TR"/>
        </w:rPr>
        <w:t xml:space="preserve">n ABD ve AB kaynaklı öncelik statülü ürünler </w:t>
      </w:r>
      <w:r w:rsidRPr="003023FC">
        <w:rPr>
          <w:rFonts w:ascii="Times New Roman" w:hAnsi="Times New Roman" w:cs="Times New Roman"/>
          <w:sz w:val="24"/>
          <w:szCs w:val="24"/>
          <w:lang w:val="tr-TR"/>
        </w:rPr>
        <w:t xml:space="preserve">için GMP ve pazarlama ruhsatı başvurularının eş zamanlı sunulması </w:t>
      </w:r>
      <w:proofErr w:type="gramStart"/>
      <w:r w:rsidRPr="003023FC">
        <w:rPr>
          <w:rFonts w:ascii="Times New Roman" w:hAnsi="Times New Roman" w:cs="Times New Roman"/>
          <w:sz w:val="24"/>
          <w:szCs w:val="24"/>
          <w:lang w:val="tr-TR"/>
        </w:rPr>
        <w:t>imkanı</w:t>
      </w:r>
      <w:proofErr w:type="gramEnd"/>
      <w:r w:rsidRPr="003023FC">
        <w:rPr>
          <w:rFonts w:ascii="Times New Roman" w:hAnsi="Times New Roman" w:cs="Times New Roman"/>
          <w:sz w:val="24"/>
          <w:szCs w:val="24"/>
          <w:lang w:val="tr-TR"/>
        </w:rPr>
        <w:t xml:space="preserve"> tanınmakla birlikte, bu uygulama tüm ürünler için yaygınlaştırılmamış</w:t>
      </w:r>
      <w:r w:rsidR="00310F3F" w:rsidRPr="003023FC">
        <w:rPr>
          <w:rFonts w:ascii="Times New Roman" w:hAnsi="Times New Roman" w:cs="Times New Roman"/>
          <w:sz w:val="24"/>
          <w:szCs w:val="24"/>
          <w:lang w:val="tr-TR"/>
        </w:rPr>
        <w:t xml:space="preserve">tır. </w:t>
      </w:r>
      <w:r w:rsidRPr="003023FC">
        <w:rPr>
          <w:rFonts w:ascii="Times New Roman" w:hAnsi="Times New Roman" w:cs="Times New Roman"/>
          <w:sz w:val="24"/>
          <w:szCs w:val="24"/>
          <w:lang w:val="tr-TR"/>
        </w:rPr>
        <w:t xml:space="preserve">ABD menşeli yeni ilaçların pazara erişimi bakımından </w:t>
      </w:r>
      <w:r w:rsidR="00310F3F" w:rsidRPr="003023FC">
        <w:rPr>
          <w:rFonts w:ascii="Times New Roman" w:hAnsi="Times New Roman" w:cs="Times New Roman"/>
          <w:sz w:val="24"/>
          <w:szCs w:val="24"/>
          <w:lang w:val="tr-TR"/>
        </w:rPr>
        <w:t xml:space="preserve">GMP denetimi kaynaklı gecikmeler </w:t>
      </w:r>
      <w:r w:rsidRPr="003023FC">
        <w:rPr>
          <w:rFonts w:ascii="Times New Roman" w:hAnsi="Times New Roman" w:cs="Times New Roman"/>
          <w:sz w:val="24"/>
          <w:szCs w:val="24"/>
          <w:lang w:val="tr-TR"/>
        </w:rPr>
        <w:t xml:space="preserve">önemli bir engel olmaya devam </w:t>
      </w:r>
      <w:r w:rsidR="00310F3F" w:rsidRPr="003023FC">
        <w:rPr>
          <w:rFonts w:ascii="Times New Roman" w:hAnsi="Times New Roman" w:cs="Times New Roman"/>
          <w:sz w:val="24"/>
          <w:szCs w:val="24"/>
          <w:lang w:val="tr-TR"/>
        </w:rPr>
        <w:t>etmektedir</w:t>
      </w:r>
      <w:r w:rsidRPr="003023FC">
        <w:rPr>
          <w:rFonts w:ascii="Times New Roman" w:hAnsi="Times New Roman" w:cs="Times New Roman"/>
          <w:sz w:val="24"/>
          <w:szCs w:val="24"/>
          <w:lang w:val="tr-TR"/>
        </w:rPr>
        <w:t>.</w:t>
      </w:r>
    </w:p>
    <w:p w14:paraId="5E3F4116" w14:textId="77777777" w:rsidR="00310F3F" w:rsidRPr="003023FC" w:rsidRDefault="00310F3F" w:rsidP="001C257C">
      <w:pPr>
        <w:spacing w:beforeLines="120" w:before="288" w:afterLines="120" w:after="288" w:line="23" w:lineRule="atLeast"/>
        <w:jc w:val="both"/>
        <w:rPr>
          <w:rFonts w:ascii="Times New Roman" w:hAnsi="Times New Roman" w:cs="Times New Roman"/>
          <w:sz w:val="24"/>
          <w:szCs w:val="24"/>
          <w:lang w:val="tr-TR"/>
        </w:rPr>
      </w:pPr>
    </w:p>
    <w:p w14:paraId="3BB0CA66"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Gıda Güvenliği ve Bitki Sağlığı</w:t>
      </w:r>
    </w:p>
    <w:p w14:paraId="085189FE"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Türkiye’nin gıda güvenliği mevzuatının uluslararası standartlarla ve bilimsel temellere yeterince uyumlu olmadığı ifade edilmektedir. AB’ye benzer şekilde pestisit </w:t>
      </w:r>
      <w:proofErr w:type="spellStart"/>
      <w:r w:rsidRPr="003023FC">
        <w:rPr>
          <w:rFonts w:ascii="Times New Roman" w:hAnsi="Times New Roman" w:cs="Times New Roman"/>
          <w:sz w:val="24"/>
          <w:szCs w:val="24"/>
          <w:lang w:val="tr-TR"/>
        </w:rPr>
        <w:t>azaltım</w:t>
      </w:r>
      <w:proofErr w:type="spellEnd"/>
      <w:r w:rsidRPr="003023FC">
        <w:rPr>
          <w:rFonts w:ascii="Times New Roman" w:hAnsi="Times New Roman" w:cs="Times New Roman"/>
          <w:sz w:val="24"/>
          <w:szCs w:val="24"/>
          <w:lang w:val="tr-TR"/>
        </w:rPr>
        <w:t xml:space="preserve"> takvimi uygulanmakta, ancak uygulamaların şeffaf ve bilimsel temelden uzak olduğu yönünde eleştiriler sürmektedir. Canlı hayvan ve bitkisel ürün ithalatında zorunlu kontrol sertifikaları gecikmelere ve limanlarda sorunlara yol açmaktadır. Bu durum, özellikle ABD’den canlı büyükbaş, et ürünleri</w:t>
      </w:r>
      <w:r w:rsidR="00C6311E" w:rsidRPr="003023FC">
        <w:rPr>
          <w:rFonts w:ascii="Times New Roman" w:hAnsi="Times New Roman" w:cs="Times New Roman"/>
          <w:sz w:val="24"/>
          <w:szCs w:val="24"/>
          <w:lang w:val="tr-TR"/>
        </w:rPr>
        <w:t>, deri</w:t>
      </w:r>
      <w:r w:rsidRPr="003023FC">
        <w:rPr>
          <w:rFonts w:ascii="Times New Roman" w:hAnsi="Times New Roman" w:cs="Times New Roman"/>
          <w:sz w:val="24"/>
          <w:szCs w:val="24"/>
          <w:lang w:val="tr-TR"/>
        </w:rPr>
        <w:t xml:space="preserve"> ve genetik materyal ihracatını olumsuz </w:t>
      </w:r>
      <w:r w:rsidR="00C6311E" w:rsidRPr="003023FC">
        <w:rPr>
          <w:rFonts w:ascii="Times New Roman" w:hAnsi="Times New Roman" w:cs="Times New Roman"/>
          <w:sz w:val="24"/>
          <w:szCs w:val="24"/>
          <w:lang w:val="tr-TR"/>
        </w:rPr>
        <w:t>etkilemektedir</w:t>
      </w:r>
      <w:r w:rsidRPr="003023FC">
        <w:rPr>
          <w:rFonts w:ascii="Times New Roman" w:hAnsi="Times New Roman" w:cs="Times New Roman"/>
          <w:sz w:val="24"/>
          <w:szCs w:val="24"/>
          <w:lang w:val="tr-TR"/>
        </w:rPr>
        <w:t>.</w:t>
      </w:r>
    </w:p>
    <w:p w14:paraId="3B278E12"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Pirinç ürü</w:t>
      </w:r>
      <w:r w:rsidR="00C6311E" w:rsidRPr="003023FC">
        <w:rPr>
          <w:rFonts w:ascii="Times New Roman" w:hAnsi="Times New Roman" w:cs="Times New Roman"/>
          <w:sz w:val="24"/>
          <w:szCs w:val="24"/>
          <w:lang w:val="tr-TR"/>
        </w:rPr>
        <w:t>nlerinde, Türkiye’nin beyaz uç</w:t>
      </w:r>
      <w:r w:rsidRPr="003023FC">
        <w:rPr>
          <w:rFonts w:ascii="Times New Roman" w:hAnsi="Times New Roman" w:cs="Times New Roman"/>
          <w:sz w:val="24"/>
          <w:szCs w:val="24"/>
          <w:lang w:val="tr-TR"/>
        </w:rPr>
        <w:t xml:space="preserve"> </w:t>
      </w:r>
      <w:proofErr w:type="spellStart"/>
      <w:r w:rsidRPr="003023FC">
        <w:rPr>
          <w:rFonts w:ascii="Times New Roman" w:hAnsi="Times New Roman" w:cs="Times New Roman"/>
          <w:sz w:val="24"/>
          <w:szCs w:val="24"/>
          <w:lang w:val="tr-TR"/>
        </w:rPr>
        <w:t>nematodu</w:t>
      </w:r>
      <w:r w:rsidR="00C6311E" w:rsidRPr="003023FC">
        <w:rPr>
          <w:rFonts w:ascii="Times New Roman" w:hAnsi="Times New Roman" w:cs="Times New Roman"/>
          <w:sz w:val="24"/>
          <w:szCs w:val="24"/>
          <w:lang w:val="tr-TR"/>
        </w:rPr>
        <w:t>nun</w:t>
      </w:r>
      <w:proofErr w:type="spellEnd"/>
      <w:r w:rsidRPr="003023FC">
        <w:rPr>
          <w:rFonts w:ascii="Times New Roman" w:hAnsi="Times New Roman" w:cs="Times New Roman"/>
          <w:sz w:val="24"/>
          <w:szCs w:val="24"/>
          <w:lang w:val="tr-TR"/>
        </w:rPr>
        <w:t xml:space="preserve"> karantina zararlısı olarak değerlendirmesi ve ithalat sonrası önleyici önlemleri kabul etmemesi nedeniyle, ABD’nin güney eyaletlerinden yapılan kabuklu pirinç sevkiyatları durdurulmuştur.</w:t>
      </w:r>
    </w:p>
    <w:p w14:paraId="7782163D"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Hayvan Sağlığı</w:t>
      </w:r>
    </w:p>
    <w:p w14:paraId="549C09DC"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kendi içinde bölgesel farklılıkları tanımasına karşın ABD için ilçe (</w:t>
      </w:r>
      <w:proofErr w:type="spellStart"/>
      <w:r w:rsidRPr="003023FC">
        <w:rPr>
          <w:rFonts w:ascii="Times New Roman" w:hAnsi="Times New Roman" w:cs="Times New Roman"/>
          <w:sz w:val="24"/>
          <w:szCs w:val="24"/>
          <w:lang w:val="tr-TR"/>
        </w:rPr>
        <w:t>county</w:t>
      </w:r>
      <w:proofErr w:type="spellEnd"/>
      <w:r w:rsidRPr="003023FC">
        <w:rPr>
          <w:rFonts w:ascii="Times New Roman" w:hAnsi="Times New Roman" w:cs="Times New Roman"/>
          <w:sz w:val="24"/>
          <w:szCs w:val="24"/>
          <w:lang w:val="tr-TR"/>
        </w:rPr>
        <w:t>) düzeyinde bölgeselleştirme uygulamasını kabul etmemektedir. Bu nedenle, yüksek patojen kuş gribi (HPAI) görülen ABD eyaletlerinden yapılan kanatlı eti ve ürünlerinin ithalatı yasaklanmıştır. Bu durum, Türkiye’nin Ortadoğu’ya ABD kaynaklı transit sevkiyatlar için önemli bir geçiş noktası olması nedeniyle, ticari etki yaratmaktadır.</w:t>
      </w:r>
    </w:p>
    <w:p w14:paraId="013325C0"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Türkiye 2024 yılı Nisan ayında, ABD’de bazı sığır sürülerinde tespit edilen H5N1 vakaları gerekçesiyle ABD’den canlı büyükbaş ithalatını durdurmuştur. ABD makamlarının bilgilendirmelerine ve </w:t>
      </w:r>
      <w:r w:rsidR="00C6311E" w:rsidRPr="003023FC">
        <w:rPr>
          <w:rFonts w:ascii="Times New Roman" w:hAnsi="Times New Roman" w:cs="Times New Roman"/>
          <w:sz w:val="24"/>
          <w:szCs w:val="24"/>
          <w:lang w:val="tr-TR"/>
        </w:rPr>
        <w:t>vakaları önlemeye yönelik tedbirlerine</w:t>
      </w:r>
      <w:r w:rsidRPr="003023FC">
        <w:rPr>
          <w:rFonts w:ascii="Times New Roman" w:hAnsi="Times New Roman" w:cs="Times New Roman"/>
          <w:sz w:val="24"/>
          <w:szCs w:val="24"/>
          <w:lang w:val="tr-TR"/>
        </w:rPr>
        <w:t xml:space="preserve"> rağmen, </w:t>
      </w:r>
      <w:r w:rsidR="00C6311E" w:rsidRPr="003023FC">
        <w:rPr>
          <w:rFonts w:ascii="Times New Roman" w:hAnsi="Times New Roman" w:cs="Times New Roman"/>
          <w:sz w:val="24"/>
          <w:szCs w:val="24"/>
          <w:lang w:val="tr-TR"/>
        </w:rPr>
        <w:t>bilimsel temele dayanmayan</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bu yasağın sürdürüldüğü belirtilmekte</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 xml:space="preserve">uygulamanın </w:t>
      </w:r>
      <w:r w:rsidRPr="003023FC">
        <w:rPr>
          <w:rFonts w:ascii="Times New Roman" w:hAnsi="Times New Roman" w:cs="Times New Roman"/>
          <w:sz w:val="24"/>
          <w:szCs w:val="24"/>
          <w:lang w:val="tr-TR"/>
        </w:rPr>
        <w:t>Dünya Hayvan Sağlığı Örgütü’nün (WOAH) önerileriyle çeliştiği ifade edilmektedir.</w:t>
      </w:r>
    </w:p>
    <w:p w14:paraId="223BEEA6" w14:textId="77777777" w:rsidR="001C257C" w:rsidRPr="003023FC" w:rsidRDefault="001C257C" w:rsidP="001C257C">
      <w:pPr>
        <w:spacing w:beforeLines="120" w:before="288" w:afterLines="120" w:after="288" w:line="23" w:lineRule="atLeast"/>
        <w:rPr>
          <w:rFonts w:ascii="Times New Roman" w:hAnsi="Times New Roman" w:cs="Times New Roman"/>
          <w:sz w:val="24"/>
          <w:szCs w:val="24"/>
          <w:lang w:val="tr-TR"/>
        </w:rPr>
      </w:pPr>
      <w:r w:rsidRPr="003023FC">
        <w:rPr>
          <w:rFonts w:ascii="Times New Roman" w:hAnsi="Times New Roman" w:cs="Times New Roman"/>
          <w:b/>
          <w:bCs/>
          <w:sz w:val="24"/>
          <w:szCs w:val="24"/>
          <w:lang w:val="tr-TR"/>
        </w:rPr>
        <w:t xml:space="preserve">Tarımda </w:t>
      </w:r>
      <w:proofErr w:type="spellStart"/>
      <w:r w:rsidRPr="003023FC">
        <w:rPr>
          <w:rFonts w:ascii="Times New Roman" w:hAnsi="Times New Roman" w:cs="Times New Roman"/>
          <w:b/>
          <w:bCs/>
          <w:sz w:val="24"/>
          <w:szCs w:val="24"/>
          <w:lang w:val="tr-TR"/>
        </w:rPr>
        <w:t>Biyoteknoloji</w:t>
      </w:r>
      <w:proofErr w:type="spellEnd"/>
    </w:p>
    <w:p w14:paraId="703F1D1C"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w:t>
      </w:r>
      <w:r w:rsidR="00C63AF7"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2010 tarihli </w:t>
      </w:r>
      <w:proofErr w:type="spellStart"/>
      <w:r w:rsidRPr="003023FC">
        <w:rPr>
          <w:rFonts w:ascii="Times New Roman" w:hAnsi="Times New Roman" w:cs="Times New Roman"/>
          <w:sz w:val="24"/>
          <w:szCs w:val="24"/>
          <w:lang w:val="tr-TR"/>
        </w:rPr>
        <w:t>Biyogüvenlik</w:t>
      </w:r>
      <w:proofErr w:type="spellEnd"/>
      <w:r w:rsidRPr="003023FC">
        <w:rPr>
          <w:rFonts w:ascii="Times New Roman" w:hAnsi="Times New Roman" w:cs="Times New Roman"/>
          <w:sz w:val="24"/>
          <w:szCs w:val="24"/>
          <w:lang w:val="tr-TR"/>
        </w:rPr>
        <w:t xml:space="preserve"> Kanunu’nu DTÖ SPS Komitesi’ne bildirmiş olmakla birlikte, sonraki değişiklikleri ve düzenleyici detayları bildirmemiştir. ABD’li </w:t>
      </w:r>
      <w:proofErr w:type="spellStart"/>
      <w:r w:rsidRPr="003023FC">
        <w:rPr>
          <w:rFonts w:ascii="Times New Roman" w:hAnsi="Times New Roman" w:cs="Times New Roman"/>
          <w:sz w:val="24"/>
          <w:szCs w:val="24"/>
          <w:lang w:val="tr-TR"/>
        </w:rPr>
        <w:t>biyoteknoloji</w:t>
      </w:r>
      <w:proofErr w:type="spellEnd"/>
      <w:r w:rsidRPr="003023FC">
        <w:rPr>
          <w:rFonts w:ascii="Times New Roman" w:hAnsi="Times New Roman" w:cs="Times New Roman"/>
          <w:sz w:val="24"/>
          <w:szCs w:val="24"/>
          <w:lang w:val="tr-TR"/>
        </w:rPr>
        <w:t xml:space="preserve"> firmaları, bu kanunun getirdiği ağır sorumluluklar, onay süreçlerinin belirsizliği ve ticari sırların yeterince korunmaması gerekçeleriyle Türkiye’de ürün onayı almakta isteksiz davranmaktadır.</w:t>
      </w:r>
    </w:p>
    <w:p w14:paraId="404CB977"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proofErr w:type="spellStart"/>
      <w:r w:rsidRPr="003023FC">
        <w:rPr>
          <w:rFonts w:ascii="Times New Roman" w:hAnsi="Times New Roman" w:cs="Times New Roman"/>
          <w:sz w:val="24"/>
          <w:szCs w:val="24"/>
          <w:lang w:val="tr-TR"/>
        </w:rPr>
        <w:t>Biyoteknoloji</w:t>
      </w:r>
      <w:proofErr w:type="spellEnd"/>
      <w:r w:rsidRPr="003023FC">
        <w:rPr>
          <w:rFonts w:ascii="Times New Roman" w:hAnsi="Times New Roman" w:cs="Times New Roman"/>
          <w:sz w:val="24"/>
          <w:szCs w:val="24"/>
          <w:lang w:val="tr-TR"/>
        </w:rPr>
        <w:t xml:space="preserve"> alanında yetkili kurum olan Tarım ve Orman Bakanlığı’nın yürüttüğü değerlendirme süreci şeffaflık ve bilimsel gerekçelendirme açısından yetersiz bulunmakta</w:t>
      </w:r>
      <w:r w:rsidR="00C6311E" w:rsidRPr="003023FC">
        <w:rPr>
          <w:rFonts w:ascii="Times New Roman" w:hAnsi="Times New Roman" w:cs="Times New Roman"/>
          <w:sz w:val="24"/>
          <w:szCs w:val="24"/>
          <w:lang w:val="tr-TR"/>
        </w:rPr>
        <w:t xml:space="preserve"> olup, </w:t>
      </w:r>
      <w:r w:rsidRPr="003023FC">
        <w:rPr>
          <w:rFonts w:ascii="Times New Roman" w:hAnsi="Times New Roman" w:cs="Times New Roman"/>
          <w:sz w:val="24"/>
          <w:szCs w:val="24"/>
          <w:lang w:val="tr-TR"/>
        </w:rPr>
        <w:t>bugüne kadar insan tüketimine yönelik hiçbir ürün onaylanmamıştır. Hayvan yemi için 36 ürün (15 soya, 21 mısır türevi) onaylı olup bu sayı uzun süredir sabit kalmıştır. 13 yeni başvuru beklemede olup, bazı başvurular 2015 yılından bu yana sonuçlandırılamamıştır.</w:t>
      </w:r>
    </w:p>
    <w:p w14:paraId="5A73D6E1"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Türkiye'nin sıfır tolerans esasına dayalı “düşük seviyeli bulaşma” (LLP) politikası, özellikle izinsiz </w:t>
      </w:r>
      <w:proofErr w:type="spellStart"/>
      <w:r w:rsidRPr="003023FC">
        <w:rPr>
          <w:rFonts w:ascii="Times New Roman" w:hAnsi="Times New Roman" w:cs="Times New Roman"/>
          <w:sz w:val="24"/>
          <w:szCs w:val="24"/>
          <w:lang w:val="tr-TR"/>
        </w:rPr>
        <w:t>biyoteknolojik</w:t>
      </w:r>
      <w:proofErr w:type="spellEnd"/>
      <w:r w:rsidRPr="003023FC">
        <w:rPr>
          <w:rFonts w:ascii="Times New Roman" w:hAnsi="Times New Roman" w:cs="Times New Roman"/>
          <w:sz w:val="24"/>
          <w:szCs w:val="24"/>
          <w:lang w:val="tr-TR"/>
        </w:rPr>
        <w:t xml:space="preserve"> ürünlerin izine rastlanan sevkiyatların tamamen reddedilmesine yol açmaktadır. Sadece iki istisna bulunmaktadır: Türkiye'de onay süreci devam eden ürünler için %0,1; onaylı ancak bildirilmemiş ürünler içinse %0,9 eşiğine kadar izin verilmektedir. Ancak bu politikalar, ABD’den gelen yem ve gıda ürünlerinin test edilmesi sırasında ayrımcı ve katı bir uygulamaya neden olmakta ve sevkiyatların reddine yol açmaktadır.</w:t>
      </w:r>
    </w:p>
    <w:p w14:paraId="29076EF9"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Kamu Alımları</w:t>
      </w:r>
    </w:p>
    <w:p w14:paraId="1D391C41"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kamu alımlarında yerli üretimi teşvik eden politikalar uygulamaya devam etmektedir. Kamu ihale mevzuatı, yerli firmalara özellikle yüksek teknoloji ürünlerinde %15’e kadar fiyat avantajı sağlama yetkisi tanımaktadır. İhale makamlarının çoğu durumda "en düşük fiyat" esasına göre karar vermesi ise, teknik kapasitesi yüksek fakat daha maliyetli olan ABD’li firmaların elenmesine neden olabilmektedir. Bu durum özellikle kaliteli hizmet, uzun vadeli maliyet avantajı veya yüksek katma değer sunan tekliflerin göz ardı edilmesine yol açmaktadır.</w:t>
      </w:r>
    </w:p>
    <w:p w14:paraId="32FD9C44"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firmaları, Türkiye’deki kamu ihalelerine katılım sürecinde bir dizi yapısal engelle karşılaştıklarını bildirmektedir. Bunlar arasında, esnekliğe izin vermeyen standart sözleşme şartları, ayrıntılı ve karmaşık belge gereklilikleri ve Kamu İhale Kanunu kapsamı dışında tutulan acil alım projeleri öne çıkmaktadır. Bu projeler teknik olarak yabancı firmalara açık olsa da, çoğunlukla yalnızca Türkiye’de üretilemeyen veya acil ihtiyaç duyulan mal ve hizmetlerde yabancı tedarikçiler tercih edil</w:t>
      </w:r>
      <w:r w:rsidR="008C6EC4" w:rsidRPr="003023FC">
        <w:rPr>
          <w:rFonts w:ascii="Times New Roman" w:hAnsi="Times New Roman" w:cs="Times New Roman"/>
          <w:sz w:val="24"/>
          <w:szCs w:val="24"/>
          <w:lang w:val="tr-TR"/>
        </w:rPr>
        <w:t xml:space="preserve">mektedir. Enerji sektöründe ise </w:t>
      </w:r>
      <w:r w:rsidRPr="003023FC">
        <w:rPr>
          <w:rFonts w:ascii="Times New Roman" w:hAnsi="Times New Roman" w:cs="Times New Roman"/>
          <w:sz w:val="24"/>
          <w:szCs w:val="24"/>
          <w:lang w:val="tr-TR"/>
        </w:rPr>
        <w:t>ekipmanların Türkiye’de özel üretim bölgelerinde üretilmesi şartı aranan lisans ihaleleri ve yerli tedarik kullanımına dayalı teşvik mekanizmaları yürürlüktedir.</w:t>
      </w:r>
    </w:p>
    <w:p w14:paraId="4660AE73"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Türkiye’nin "Sanayi İşbirliği Programı" çerçevesinde, savunma, ulaşım, ilaç, telekomünikasyon ve enerji gibi sektörlerde kamu ihalelerinde yerli ortakla üretim ve teknoloji transferi zorunlulukları getirilmekte; bu da yabancı firmalar için ilave yükümlülükler doğurmaktadır. 2019’dan bu yana kamu kurumlarının bulut bilişim hizmetleri kullanması yasaklanmış olup bu durum, dijital altyapı sunan yabancı firmaların katılımını sınırlamaktadır. Türkiye halen DTÖ Kamu Alımları Anlaşması’na taraf değildir, ancak 1996’dan bu yana anlaşmanın komitesine gözlemci statüsünde katılım sağlamaktadır.</w:t>
      </w:r>
    </w:p>
    <w:p w14:paraId="06115224" w14:textId="77777777" w:rsidR="002D68B2" w:rsidRPr="003023FC" w:rsidRDefault="006E1F10"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Fikri Mülkiyet Haklarının Korunması</w:t>
      </w:r>
    </w:p>
    <w:p w14:paraId="6188D2D1" w14:textId="77777777" w:rsidR="006E1F10" w:rsidRPr="003023FC" w:rsidRDefault="008C6EC4"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USTR</w:t>
      </w:r>
      <w:r w:rsidR="006E1F10" w:rsidRPr="003023FC">
        <w:rPr>
          <w:rFonts w:ascii="Times New Roman" w:hAnsi="Times New Roman" w:cs="Times New Roman"/>
          <w:sz w:val="24"/>
          <w:szCs w:val="24"/>
          <w:lang w:val="tr-TR"/>
        </w:rPr>
        <w:t xml:space="preserve"> tarafından yayımlanan 2024 yılı Özel 301 Raporu'nda Türkiye, fikri mülkiyet rejimindeki yetersizlikler nedeniyle izleme listesinde yer almaya devam etmiştir. Bu eksikliklerin, ABD ihracatı ve yatırımları açısından piyasa erişiminde engel teşkil ettiği belirtilmiştir. Özellikle korsan yazılım, basılı materyal korsanlığı ve çevrim içi korsanlık ile mücadelede yetersizlikler tespit edilmiş; Türkiye'nin sahte ürünlerin ihracatında ve transit ticaretinde önemli bir merkez haline geldiği vurgulanmıştır. İstanbul’daki Tahtakale pazarı, Çin menşeli sahte ürünlerin Avrupa ve Orta Doğu’ya geçiş noktası olarak 2024 yılı “Korsanlık ve Sahtecilikle Anılan Piyasalar” listesinde yer almıştır.</w:t>
      </w:r>
    </w:p>
    <w:p w14:paraId="590C8E6A"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w:t>
      </w:r>
      <w:r w:rsidR="008C6EC4" w:rsidRPr="003023FC">
        <w:rPr>
          <w:rFonts w:ascii="Times New Roman" w:hAnsi="Times New Roman" w:cs="Times New Roman"/>
          <w:sz w:val="24"/>
          <w:szCs w:val="24"/>
          <w:lang w:val="tr-TR"/>
        </w:rPr>
        <w:t>’li şirketler</w:t>
      </w:r>
      <w:r w:rsidRPr="003023FC">
        <w:rPr>
          <w:rFonts w:ascii="Times New Roman" w:hAnsi="Times New Roman" w:cs="Times New Roman"/>
          <w:sz w:val="24"/>
          <w:szCs w:val="24"/>
          <w:lang w:val="tr-TR"/>
        </w:rPr>
        <w:t>, fikri mülkiyet</w:t>
      </w:r>
      <w:r w:rsidR="00C63AF7" w:rsidRPr="003023FC">
        <w:rPr>
          <w:rFonts w:ascii="Times New Roman" w:hAnsi="Times New Roman" w:cs="Times New Roman"/>
          <w:sz w:val="24"/>
          <w:szCs w:val="24"/>
          <w:lang w:val="tr-TR"/>
        </w:rPr>
        <w:t xml:space="preserve"> kurallarının </w:t>
      </w:r>
      <w:r w:rsidRPr="003023FC">
        <w:rPr>
          <w:rFonts w:ascii="Times New Roman" w:hAnsi="Times New Roman" w:cs="Times New Roman"/>
          <w:sz w:val="24"/>
          <w:szCs w:val="24"/>
          <w:lang w:val="tr-TR"/>
        </w:rPr>
        <w:t xml:space="preserve">uygulanmasında kolluk kuvvetleri, savcılık ve yargı makamları arasında koordinasyon eksikliği olduğunu, </w:t>
      </w:r>
      <w:r w:rsidR="008C6EC4" w:rsidRPr="003023FC">
        <w:rPr>
          <w:rFonts w:ascii="Times New Roman" w:hAnsi="Times New Roman" w:cs="Times New Roman"/>
          <w:sz w:val="24"/>
          <w:szCs w:val="24"/>
          <w:lang w:val="tr-TR"/>
        </w:rPr>
        <w:t>devlet kurumlarının</w:t>
      </w:r>
      <w:r w:rsidRPr="003023FC">
        <w:rPr>
          <w:rFonts w:ascii="Times New Roman" w:hAnsi="Times New Roman" w:cs="Times New Roman"/>
          <w:sz w:val="24"/>
          <w:szCs w:val="24"/>
          <w:lang w:val="tr-TR"/>
        </w:rPr>
        <w:t xml:space="preserve"> fikri mülkiyet suçlarına öncelik vermediğini rapor etmektedir. 2016 yılında yürürlüğe giren Sınai Mülkiyet Kanunu, marka, tasarım, patent, faydalı model ve coğrafi işaretlerin korunmasına ilişkin düzenlemeleri tek bir çatı altında toplamış ve teknoloji transferi ile ticarileştirme alanında yasal çerçeveyi güçlendirmiştir. Bununla birlikte ABD, Türkiye’nin WIPO İnternet </w:t>
      </w:r>
      <w:r w:rsidR="008C6EC4" w:rsidRPr="003023FC">
        <w:rPr>
          <w:rFonts w:ascii="Times New Roman" w:hAnsi="Times New Roman" w:cs="Times New Roman"/>
          <w:sz w:val="24"/>
          <w:szCs w:val="24"/>
          <w:lang w:val="tr-TR"/>
        </w:rPr>
        <w:t>Anlaşmaları</w:t>
      </w:r>
      <w:r w:rsidRPr="003023FC">
        <w:rPr>
          <w:rFonts w:ascii="Times New Roman" w:hAnsi="Times New Roman" w:cs="Times New Roman"/>
          <w:sz w:val="24"/>
          <w:szCs w:val="24"/>
          <w:lang w:val="tr-TR"/>
        </w:rPr>
        <w:t xml:space="preserve"> kapsamındaki yükümlülüklerini tam olarak uygulamasını ve çevrim içi korsanlıkla mücadelede etkili mekanizmalar geliştirmesini teşvik etmektedir.</w:t>
      </w:r>
    </w:p>
    <w:p w14:paraId="51C06753"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ilaç sektörü ise Türkiye’de pazarlama ruhsatı almak için sunulan test verile</w:t>
      </w:r>
      <w:r w:rsidR="008C6EC4" w:rsidRPr="003023FC">
        <w:rPr>
          <w:rFonts w:ascii="Times New Roman" w:hAnsi="Times New Roman" w:cs="Times New Roman"/>
          <w:sz w:val="24"/>
          <w:szCs w:val="24"/>
          <w:lang w:val="tr-TR"/>
        </w:rPr>
        <w:t xml:space="preserve">rinin izinsiz </w:t>
      </w:r>
      <w:r w:rsidR="00DC7091" w:rsidRPr="003023FC">
        <w:rPr>
          <w:rFonts w:ascii="Times New Roman" w:hAnsi="Times New Roman" w:cs="Times New Roman"/>
          <w:sz w:val="24"/>
          <w:szCs w:val="24"/>
          <w:lang w:val="tr-TR"/>
        </w:rPr>
        <w:t xml:space="preserve">paylaşımı </w:t>
      </w:r>
      <w:r w:rsidRPr="003023FC">
        <w:rPr>
          <w:rFonts w:ascii="Times New Roman" w:hAnsi="Times New Roman" w:cs="Times New Roman"/>
          <w:sz w:val="24"/>
          <w:szCs w:val="24"/>
          <w:lang w:val="tr-TR"/>
        </w:rPr>
        <w:t>ve haksız ticari kullanıma kar</w:t>
      </w:r>
      <w:r w:rsidR="008C6EC4" w:rsidRPr="003023FC">
        <w:rPr>
          <w:rFonts w:ascii="Times New Roman" w:hAnsi="Times New Roman" w:cs="Times New Roman"/>
          <w:sz w:val="24"/>
          <w:szCs w:val="24"/>
          <w:lang w:val="tr-TR"/>
        </w:rPr>
        <w:t>şı yeterli koruma sağlanmadığı yönünde çekincelerini dile getirmektedir</w:t>
      </w:r>
      <w:r w:rsidRPr="003023FC">
        <w:rPr>
          <w:rFonts w:ascii="Times New Roman" w:hAnsi="Times New Roman" w:cs="Times New Roman"/>
          <w:sz w:val="24"/>
          <w:szCs w:val="24"/>
          <w:lang w:val="tr-TR"/>
        </w:rPr>
        <w:t>. Ayrıca, ilaç patent uyuşmazlıklarının çözüm sürecinin öngörülemez ve gecikmeli olması da firmalar açısından bir diğer endişe kaynağıdır.</w:t>
      </w:r>
    </w:p>
    <w:p w14:paraId="5D48CDCB" w14:textId="77777777" w:rsidR="006E1F10" w:rsidRPr="003023FC" w:rsidRDefault="003009A5"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Hizmet Ticareti Engelleri</w:t>
      </w:r>
    </w:p>
    <w:p w14:paraId="4D0BBB23" w14:textId="77777777" w:rsidR="003009A5" w:rsidRPr="003023FC" w:rsidRDefault="003009A5" w:rsidP="008C6EC4">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çevrim içi yayıncılık alanında yürürlüğe koyduğu düzenlemelerle yabancı hizmet sağlayıcılarının pazara girişini sınırlandırmaktadır. 2019 yılında kabul edilen “</w:t>
      </w:r>
      <w:r w:rsidR="008C6EC4" w:rsidRPr="003023FC">
        <w:rPr>
          <w:rFonts w:ascii="Times New Roman" w:hAnsi="Times New Roman" w:cs="Times New Roman"/>
          <w:sz w:val="24"/>
          <w:szCs w:val="24"/>
          <w:lang w:val="tr-TR"/>
        </w:rPr>
        <w:t>Radyo, Televizyon ve İsteğe Bağlı Yayınların İnternet Ortamından Sunumu Hakkında Yönetmelik</w:t>
      </w:r>
      <w:r w:rsidRPr="003023FC">
        <w:rPr>
          <w:rFonts w:ascii="Times New Roman" w:hAnsi="Times New Roman" w:cs="Times New Roman"/>
          <w:sz w:val="24"/>
          <w:szCs w:val="24"/>
          <w:lang w:val="tr-TR"/>
        </w:rPr>
        <w:t>” uyarınca, çevrim içi yayın hizmeti sunan platformların Türkiye’de ticari varlık oluşturması ve yayın lisansı alması zorunlu hale getirilmiştir. Ayrıca, bu hizmet sağlayıcılardan içerik denetimi yapmaları ve talep hâlinde abone verilerini kamu otoriteleriyle paylaşmaları beklenmektedir.</w:t>
      </w:r>
    </w:p>
    <w:p w14:paraId="5617181D"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Finansal hizmetler alanında ise, 6493 sayılı </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Ödeme ve Menkul Kıymet Mutabakat Sistemleri, Ödeme Hizmetleri ve Elektronik Para Kuruluşları Hakkında Kanun</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finansal kuruluşların belge ve kayıtlarını tuttuğu bilgi sistemlerinin fiziksel olarak Türkiye’de bulunmasını zorunlu kılmaktadır. Küresel çapta dağınık ağ altyapısı kullanan ABD menşeli firmalar, bu düzenlemeyi teknik olarak uygulanamaz bulmaktadır. Söz konusu mevzuatın yürürlüğe girmesi, önde gelen bir ABD’li firmanın Türkiye’deki faaliyetlerini sonlandırmasına neden olmuştur.</w:t>
      </w:r>
    </w:p>
    <w:p w14:paraId="4F04E7AD" w14:textId="77777777" w:rsidR="003009A5" w:rsidRPr="003023FC" w:rsidRDefault="001E5400"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Profesyonel hizmetlere yönelik ise, </w:t>
      </w:r>
      <w:r w:rsidR="003009A5" w:rsidRPr="003023FC">
        <w:rPr>
          <w:rFonts w:ascii="Times New Roman" w:hAnsi="Times New Roman" w:cs="Times New Roman"/>
          <w:sz w:val="24"/>
          <w:szCs w:val="24"/>
          <w:lang w:val="tr-TR"/>
        </w:rPr>
        <w:t xml:space="preserve">Türkiye’de muhasebecilik, yeminli mali müşavirlik ve mahkemelerde avukatlık gibi mesleklerin icrası için Türk vatandaşlığı şartı aranmaktadır. </w:t>
      </w:r>
    </w:p>
    <w:p w14:paraId="0A38BB35"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Elektronik Ticaret ve Dijital Hizmetlerdeki Engeller</w:t>
      </w:r>
    </w:p>
    <w:p w14:paraId="3D728E2F" w14:textId="77777777" w:rsidR="003009A5" w:rsidRPr="003023FC" w:rsidRDefault="003009A5"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2022 yılında yürürlüğe giren Basın Kanunu değişikliğiyle, </w:t>
      </w:r>
      <w:r w:rsidR="001E5400" w:rsidRPr="003023FC">
        <w:rPr>
          <w:rFonts w:ascii="Times New Roman" w:hAnsi="Times New Roman" w:cs="Times New Roman"/>
          <w:sz w:val="24"/>
          <w:szCs w:val="24"/>
          <w:lang w:val="tr-TR"/>
        </w:rPr>
        <w:t xml:space="preserve">devlet </w:t>
      </w:r>
      <w:r w:rsidRPr="003023FC">
        <w:rPr>
          <w:rFonts w:ascii="Times New Roman" w:hAnsi="Times New Roman" w:cs="Times New Roman"/>
          <w:sz w:val="24"/>
          <w:szCs w:val="24"/>
          <w:lang w:val="tr-TR"/>
        </w:rPr>
        <w:t xml:space="preserve">tarafından “yanıltıcı bilgi” olarak değerlendirilen sosyal medya içeriklerinin cezai yaptırımla karşı karşıya kalabileceği hükme bağlanmış, bilgi teknolojisi şirketlerine küresel cironun %3’üne kadar para cezası ve bant daraltma yaptırımı öngörülmüştür. İlgili yasa kapsamındaki ikincil düzenlemeler Aralık 2024 itibarıyla tamamlanmamıştır. Ayrıca, </w:t>
      </w:r>
      <w:proofErr w:type="spellStart"/>
      <w:r w:rsidRPr="003023FC">
        <w:rPr>
          <w:rFonts w:ascii="Times New Roman" w:hAnsi="Times New Roman" w:cs="Times New Roman"/>
          <w:sz w:val="24"/>
          <w:szCs w:val="24"/>
          <w:lang w:val="tr-TR"/>
        </w:rPr>
        <w:t>BTK’nın</w:t>
      </w:r>
      <w:proofErr w:type="spellEnd"/>
      <w:r w:rsidRPr="003023FC">
        <w:rPr>
          <w:rFonts w:ascii="Times New Roman" w:hAnsi="Times New Roman" w:cs="Times New Roman"/>
          <w:sz w:val="24"/>
          <w:szCs w:val="24"/>
          <w:lang w:val="tr-TR"/>
        </w:rPr>
        <w:t xml:space="preserve"> internet içeriklerine erişim engeli getirme yetkisi kapsamında, çeşitli ABD’li hizmet sağlayıcılar da dahil olmak üzere birçok platforma yönelik kısıtlama uygulanmıştır. Şubat 2023 depremlerinin ardından bir sosyal medya platformuna erişimin geçici olarak sınırlandırılması dikkat çekmiştir. 5651 sayılı Kanun uyarınca, günde bir milyondan fazla kullanıcıya sahip sosyal medya platformlarının Türkiye’de temsilci bulundurması</w:t>
      </w:r>
      <w:r w:rsidR="001E5400" w:rsidRPr="003023FC">
        <w:rPr>
          <w:rFonts w:ascii="Times New Roman" w:hAnsi="Times New Roman" w:cs="Times New Roman"/>
          <w:sz w:val="24"/>
          <w:szCs w:val="24"/>
          <w:lang w:val="tr-TR"/>
        </w:rPr>
        <w:t>, içerik kaldırma taleplerine ivedilikle cevap verilmesi</w:t>
      </w:r>
      <w:r w:rsidRPr="003023FC">
        <w:rPr>
          <w:rFonts w:ascii="Times New Roman" w:hAnsi="Times New Roman" w:cs="Times New Roman"/>
          <w:sz w:val="24"/>
          <w:szCs w:val="24"/>
          <w:lang w:val="tr-TR"/>
        </w:rPr>
        <w:t xml:space="preserve"> ve kullanıcı verilerini yurtiçinde saklama</w:t>
      </w:r>
      <w:r w:rsidR="001E5400" w:rsidRPr="003023FC">
        <w:rPr>
          <w:rFonts w:ascii="Times New Roman" w:hAnsi="Times New Roman" w:cs="Times New Roman"/>
          <w:sz w:val="24"/>
          <w:szCs w:val="24"/>
          <w:lang w:val="tr-TR"/>
        </w:rPr>
        <w:t>sı zorunluluğu devam etmektedir.</w:t>
      </w:r>
    </w:p>
    <w:p w14:paraId="6EC5882C"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Elektronik ticaret kapsamında, Türkiye 21 Ağustos 2024’te yürürlüğe koyduğu yeni düzenlemeyle yurt dışından yapılan çevrim içi alışverişlerde vergi muafiyet eşiğini 150 avrodan 30 avroya düşürmüş; AB dışı ülkelerden gelen ürünlerde vergi oranını %60’a, AB ülkelerinden gelenlerde ise %30’a yükseltmiştir. Ayrıca, kürk, mücevher, cep telefonu ve ev eşyaları gibi lüks/dayanıklı </w:t>
      </w:r>
      <w:r w:rsidR="001E5400" w:rsidRPr="003023FC">
        <w:rPr>
          <w:rFonts w:ascii="Times New Roman" w:hAnsi="Times New Roman" w:cs="Times New Roman"/>
          <w:sz w:val="24"/>
          <w:szCs w:val="24"/>
          <w:lang w:val="tr-TR"/>
        </w:rPr>
        <w:t xml:space="preserve">tüketim </w:t>
      </w:r>
      <w:r w:rsidR="008F4FAA" w:rsidRPr="003023FC">
        <w:rPr>
          <w:rFonts w:ascii="Times New Roman" w:hAnsi="Times New Roman" w:cs="Times New Roman"/>
          <w:sz w:val="24"/>
          <w:szCs w:val="24"/>
          <w:lang w:val="tr-TR"/>
        </w:rPr>
        <w:t>ürünlerinde</w:t>
      </w:r>
      <w:r w:rsidRPr="003023FC">
        <w:rPr>
          <w:rFonts w:ascii="Times New Roman" w:hAnsi="Times New Roman" w:cs="Times New Roman"/>
          <w:sz w:val="24"/>
          <w:szCs w:val="24"/>
          <w:lang w:val="tr-TR"/>
        </w:rPr>
        <w:t xml:space="preserve"> %20 ek vergi uygulanmaktadır. Bu ani vergi artışları, önceden istişare yapılmadan ve yeterli geçiş süresi tanınmadan hayata geçirildiği için uluslararası yatırımcılar tarafından eleştirilmiş; bir ABD’li firmanın Türkiye’deki çevrim içi satışlarını askıya almasına neden olmuştur. Ayrıca, sahte ürün oranında artış ve denetimsiz bir gri pazarın oluşması riskleri dile getirilmiş, bu vergilerin enflasyonu artırabileceği ve uluslararası </w:t>
      </w:r>
      <w:r w:rsidR="008F4FAA" w:rsidRPr="003023FC">
        <w:rPr>
          <w:rFonts w:ascii="Times New Roman" w:hAnsi="Times New Roman" w:cs="Times New Roman"/>
          <w:sz w:val="24"/>
          <w:szCs w:val="24"/>
          <w:lang w:val="tr-TR"/>
        </w:rPr>
        <w:t>taşımacılık</w:t>
      </w:r>
      <w:r w:rsidRPr="003023FC">
        <w:rPr>
          <w:rFonts w:ascii="Times New Roman" w:hAnsi="Times New Roman" w:cs="Times New Roman"/>
          <w:sz w:val="24"/>
          <w:szCs w:val="24"/>
          <w:lang w:val="tr-TR"/>
        </w:rPr>
        <w:t xml:space="preserve"> firmalarının Türkiye pazarından çekilmesine yol açabileceği </w:t>
      </w:r>
      <w:r w:rsidR="008F4FAA" w:rsidRPr="003023FC">
        <w:rPr>
          <w:rFonts w:ascii="Times New Roman" w:hAnsi="Times New Roman" w:cs="Times New Roman"/>
          <w:sz w:val="24"/>
          <w:szCs w:val="24"/>
          <w:lang w:val="tr-TR"/>
        </w:rPr>
        <w:t>öne sürülmüştür</w:t>
      </w:r>
      <w:r w:rsidRPr="003023FC">
        <w:rPr>
          <w:rFonts w:ascii="Times New Roman" w:hAnsi="Times New Roman" w:cs="Times New Roman"/>
          <w:sz w:val="24"/>
          <w:szCs w:val="24"/>
          <w:lang w:val="tr-TR"/>
        </w:rPr>
        <w:t>.</w:t>
      </w:r>
    </w:p>
    <w:p w14:paraId="2B05FDCA"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Dijital Hizmet Vergisi (DST) kapsamında, Türkiye 1 Mart 2020 tarihinden itibaren dijital reklamcılık, içerik satışı ve dijital platform hizmetlerinden elde edilen gelirler üzerinden %7,5 oranında vergi uygulamaktadır. Bu vergi, Türkiye’de bir önceki yıl 20 milyon TL, küresel ölçekte ise 750 milyon avro üzeri gelir elde e</w:t>
      </w:r>
      <w:r w:rsidR="008F4FAA" w:rsidRPr="003023FC">
        <w:rPr>
          <w:rFonts w:ascii="Times New Roman" w:hAnsi="Times New Roman" w:cs="Times New Roman"/>
          <w:sz w:val="24"/>
          <w:szCs w:val="24"/>
          <w:lang w:val="tr-TR"/>
        </w:rPr>
        <w:t xml:space="preserve">den şirketlere uygulanmaktadır. </w:t>
      </w:r>
      <w:r w:rsidRPr="003023FC">
        <w:rPr>
          <w:rFonts w:ascii="Times New Roman" w:hAnsi="Times New Roman" w:cs="Times New Roman"/>
          <w:sz w:val="24"/>
          <w:szCs w:val="24"/>
          <w:lang w:val="tr-TR"/>
        </w:rPr>
        <w:t>Cumhurbaşkanı, vergi oranını %1 ile %15 arasında değiştirme yetkisine sahiptir. Türkiye ve ABD, 8 Ekim 2021 tari</w:t>
      </w:r>
      <w:r w:rsidR="008F4FAA" w:rsidRPr="003023FC">
        <w:rPr>
          <w:rFonts w:ascii="Times New Roman" w:hAnsi="Times New Roman" w:cs="Times New Roman"/>
          <w:sz w:val="24"/>
          <w:szCs w:val="24"/>
          <w:lang w:val="tr-TR"/>
        </w:rPr>
        <w:t>hli OECD/G20 Kapsayıcı Çerçeve</w:t>
      </w:r>
      <w:r w:rsidRPr="003023FC">
        <w:rPr>
          <w:rFonts w:ascii="Times New Roman" w:hAnsi="Times New Roman" w:cs="Times New Roman"/>
          <w:sz w:val="24"/>
          <w:szCs w:val="24"/>
          <w:lang w:val="tr-TR"/>
        </w:rPr>
        <w:t xml:space="preserve"> kapsamında kabul edilen “</w:t>
      </w:r>
      <w:r w:rsidR="008F4FAA" w:rsidRPr="003023FC">
        <w:rPr>
          <w:rFonts w:ascii="Times New Roman" w:hAnsi="Times New Roman" w:cs="Times New Roman"/>
          <w:sz w:val="24"/>
          <w:szCs w:val="24"/>
          <w:lang w:val="tr-TR"/>
        </w:rPr>
        <w:t xml:space="preserve">İkinci Yapısal </w:t>
      </w:r>
      <w:proofErr w:type="spellStart"/>
      <w:r w:rsidR="008F4FAA" w:rsidRPr="003023FC">
        <w:rPr>
          <w:rFonts w:ascii="Times New Roman" w:hAnsi="Times New Roman" w:cs="Times New Roman"/>
          <w:sz w:val="24"/>
          <w:szCs w:val="24"/>
          <w:lang w:val="tr-TR"/>
        </w:rPr>
        <w:t>Blok”a</w:t>
      </w:r>
      <w:proofErr w:type="spellEnd"/>
      <w:r w:rsidRPr="003023FC">
        <w:rPr>
          <w:rFonts w:ascii="Times New Roman" w:hAnsi="Times New Roman" w:cs="Times New Roman"/>
          <w:sz w:val="24"/>
          <w:szCs w:val="24"/>
          <w:lang w:val="tr-TR"/>
        </w:rPr>
        <w:t xml:space="preserve"> katılmış, bu kapsamda 2021 yılında bir geçiş düzenlemesi üzerinde mutabık kalınmıştır. Bu mutabakata göre, Türkiye’nin geçiş dönemi boyunca uyguladığı DST yükümlülükleri, ileride Sütun 1 kapsamındaki kurumlar vergisinden mahsup edilebilecekti</w:t>
      </w:r>
      <w:r w:rsidR="008F4FAA" w:rsidRPr="003023FC">
        <w:rPr>
          <w:rFonts w:ascii="Times New Roman" w:hAnsi="Times New Roman" w:cs="Times New Roman"/>
          <w:sz w:val="24"/>
          <w:szCs w:val="24"/>
          <w:lang w:val="tr-TR"/>
        </w:rPr>
        <w:t>r</w:t>
      </w:r>
      <w:r w:rsidRPr="003023FC">
        <w:rPr>
          <w:rFonts w:ascii="Times New Roman" w:hAnsi="Times New Roman" w:cs="Times New Roman"/>
          <w:sz w:val="24"/>
          <w:szCs w:val="24"/>
          <w:lang w:val="tr-TR"/>
        </w:rPr>
        <w:t>. Bu uzlaşı doğrultusunda ABD, Türkiye’ye karşı 2020 yılında başlatılan 301. Madde soruşturmasını sürdürmemiştir.</w:t>
      </w:r>
    </w:p>
    <w:p w14:paraId="1FE60753"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Ancak, 20 Ocak 2025 tarihinde Beyaz Saray tarafında</w:t>
      </w:r>
      <w:r w:rsidR="008F4FAA" w:rsidRPr="003023FC">
        <w:rPr>
          <w:rFonts w:ascii="Times New Roman" w:hAnsi="Times New Roman" w:cs="Times New Roman"/>
          <w:sz w:val="24"/>
          <w:szCs w:val="24"/>
          <w:lang w:val="tr-TR"/>
        </w:rPr>
        <w:t>n yayımlanan bir memorandum ile,</w:t>
      </w:r>
      <w:r w:rsidRPr="003023FC">
        <w:rPr>
          <w:rFonts w:ascii="Times New Roman" w:hAnsi="Times New Roman" w:cs="Times New Roman"/>
          <w:sz w:val="24"/>
          <w:szCs w:val="24"/>
          <w:lang w:val="tr-TR"/>
        </w:rPr>
        <w:t xml:space="preserve"> önceki yönetimin OECD Küresel Vergi Anlaşması kapsamında verdiği taahhütlerin ABD açısından bağlayıcı olmadığı ilan edilmiştir. Bu doğrultuda, ABD Hazine Bakanlığı yetkilileri 22 Ocak’ta OECD Vergi Politikası Merkezi Direktörlüğü’ne, 24 Ocak’ta ise OECD Genel Sekreteri’ne resmi bildirimde bulunmuş ve önceki idarenin yükümlülüklerinin ge</w:t>
      </w:r>
      <w:r w:rsidR="008F4FAA" w:rsidRPr="003023FC">
        <w:rPr>
          <w:rFonts w:ascii="Times New Roman" w:hAnsi="Times New Roman" w:cs="Times New Roman"/>
          <w:sz w:val="24"/>
          <w:szCs w:val="24"/>
          <w:lang w:val="tr-TR"/>
        </w:rPr>
        <w:t>çersiz olduğunu teyit etmiştir.</w:t>
      </w:r>
    </w:p>
    <w:p w14:paraId="56B3C5EE"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Yatırım Engelleri</w:t>
      </w:r>
    </w:p>
    <w:p w14:paraId="49BD1FF1"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 doğrudan yabancı yatırımlar genelde serbest olsa da, yayıncılık ve taşınmaz edinimi gibi alanlarda mülkiyet sınırlamaları bulunmaktadır. ABD’li yatırımcılar, madencilik ruhsatlarının alınması veya yenilenmesin</w:t>
      </w:r>
      <w:r w:rsidR="00E76396" w:rsidRPr="003023FC">
        <w:rPr>
          <w:rFonts w:ascii="Times New Roman" w:hAnsi="Times New Roman" w:cs="Times New Roman"/>
          <w:sz w:val="24"/>
          <w:szCs w:val="24"/>
          <w:lang w:val="tr-TR"/>
        </w:rPr>
        <w:t xml:space="preserve">de gecikmeler yaşadıklarını, </w:t>
      </w:r>
      <w:r w:rsidRPr="003023FC">
        <w:rPr>
          <w:rFonts w:ascii="Times New Roman" w:hAnsi="Times New Roman" w:cs="Times New Roman"/>
          <w:sz w:val="24"/>
          <w:szCs w:val="24"/>
          <w:lang w:val="tr-TR"/>
        </w:rPr>
        <w:t xml:space="preserve">bazı durumlarda </w:t>
      </w:r>
      <w:r w:rsidR="00E76396" w:rsidRPr="003023FC">
        <w:rPr>
          <w:rFonts w:ascii="Times New Roman" w:hAnsi="Times New Roman" w:cs="Times New Roman"/>
          <w:sz w:val="24"/>
          <w:szCs w:val="24"/>
          <w:lang w:val="tr-TR"/>
        </w:rPr>
        <w:t xml:space="preserve">ise </w:t>
      </w:r>
      <w:r w:rsidRPr="003023FC">
        <w:rPr>
          <w:rFonts w:ascii="Times New Roman" w:hAnsi="Times New Roman" w:cs="Times New Roman"/>
          <w:sz w:val="24"/>
          <w:szCs w:val="24"/>
          <w:lang w:val="tr-TR"/>
        </w:rPr>
        <w:t xml:space="preserve">yerel makamların </w:t>
      </w:r>
      <w:r w:rsidR="00E76396" w:rsidRPr="003023FC">
        <w:rPr>
          <w:rFonts w:ascii="Times New Roman" w:hAnsi="Times New Roman" w:cs="Times New Roman"/>
          <w:sz w:val="24"/>
          <w:szCs w:val="24"/>
          <w:lang w:val="tr-TR"/>
        </w:rPr>
        <w:t>izni alınmış</w:t>
      </w:r>
      <w:r w:rsidRPr="003023FC">
        <w:rPr>
          <w:rFonts w:ascii="Times New Roman" w:hAnsi="Times New Roman" w:cs="Times New Roman"/>
          <w:sz w:val="24"/>
          <w:szCs w:val="24"/>
          <w:lang w:val="tr-TR"/>
        </w:rPr>
        <w:t xml:space="preserve"> faaliyetleri durdurduğunu bildirmiştir.</w:t>
      </w:r>
    </w:p>
    <w:p w14:paraId="777F2A47"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Sübvansiyonlar</w:t>
      </w:r>
    </w:p>
    <w:p w14:paraId="6485DBCE"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 kapsamlı tarımsal destek programlarına sahip olmasına </w:t>
      </w:r>
      <w:r w:rsidR="007219E3" w:rsidRPr="003023FC">
        <w:rPr>
          <w:rFonts w:ascii="Times New Roman" w:hAnsi="Times New Roman" w:cs="Times New Roman"/>
          <w:sz w:val="24"/>
          <w:szCs w:val="24"/>
          <w:lang w:val="tr-TR"/>
        </w:rPr>
        <w:t>karşın</w:t>
      </w:r>
      <w:r w:rsidRPr="003023FC">
        <w:rPr>
          <w:rFonts w:ascii="Times New Roman" w:hAnsi="Times New Roman" w:cs="Times New Roman"/>
          <w:sz w:val="24"/>
          <w:szCs w:val="24"/>
          <w:lang w:val="tr-TR"/>
        </w:rPr>
        <w:t>, DTÖ’ye sunması gereken iç destek ve ihracat sübvansiyonu bildirimlerinde ciddi gecikmeler yaşamaktadır. Mevcut bildiri</w:t>
      </w:r>
      <w:r w:rsidR="007219E3" w:rsidRPr="003023FC">
        <w:rPr>
          <w:rFonts w:ascii="Times New Roman" w:hAnsi="Times New Roman" w:cs="Times New Roman"/>
          <w:sz w:val="24"/>
          <w:szCs w:val="24"/>
          <w:lang w:val="tr-TR"/>
        </w:rPr>
        <w:t xml:space="preserve">mler eski yılları kapsamakta </w:t>
      </w:r>
      <w:r w:rsidRPr="003023FC">
        <w:rPr>
          <w:rFonts w:ascii="Times New Roman" w:hAnsi="Times New Roman" w:cs="Times New Roman"/>
          <w:sz w:val="24"/>
          <w:szCs w:val="24"/>
          <w:lang w:val="tr-TR"/>
        </w:rPr>
        <w:t xml:space="preserve">ve bazı dönemlerde DTÖ taahhütlerinin aşılmış olabileceğine dair endişeler </w:t>
      </w:r>
      <w:r w:rsidR="007219E3" w:rsidRPr="003023FC">
        <w:rPr>
          <w:rFonts w:ascii="Times New Roman" w:hAnsi="Times New Roman" w:cs="Times New Roman"/>
          <w:sz w:val="24"/>
          <w:szCs w:val="24"/>
          <w:lang w:val="tr-TR"/>
        </w:rPr>
        <w:t>doğurmaktadır</w:t>
      </w:r>
      <w:r w:rsidRPr="003023FC">
        <w:rPr>
          <w:rFonts w:ascii="Times New Roman" w:hAnsi="Times New Roman" w:cs="Times New Roman"/>
          <w:sz w:val="24"/>
          <w:szCs w:val="24"/>
          <w:lang w:val="tr-TR"/>
        </w:rPr>
        <w:t xml:space="preserve">. ABD ve diğer DTÖ üyeleri, Türkiye'nin </w:t>
      </w:r>
      <w:r w:rsidR="007219E3" w:rsidRPr="003023FC">
        <w:rPr>
          <w:rFonts w:ascii="Times New Roman" w:hAnsi="Times New Roman" w:cs="Times New Roman"/>
          <w:sz w:val="24"/>
          <w:szCs w:val="24"/>
          <w:lang w:val="tr-TR"/>
        </w:rPr>
        <w:t>şeffaflık konusundaki eksikliği</w:t>
      </w:r>
      <w:r w:rsidRPr="003023FC">
        <w:rPr>
          <w:rFonts w:ascii="Times New Roman" w:hAnsi="Times New Roman" w:cs="Times New Roman"/>
          <w:sz w:val="24"/>
          <w:szCs w:val="24"/>
          <w:lang w:val="tr-TR"/>
        </w:rPr>
        <w:t xml:space="preserve"> ve destek miktarlarına ilişkin endişelerini düzenli olarak gündeme getirmektedir.</w:t>
      </w:r>
    </w:p>
    <w:p w14:paraId="7E4E4AF8" w14:textId="77777777" w:rsidR="002A23F9"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ABD’li ihracatçılar, </w:t>
      </w:r>
      <w:r w:rsidR="007219E3" w:rsidRPr="003023FC">
        <w:rPr>
          <w:rFonts w:ascii="Times New Roman" w:hAnsi="Times New Roman" w:cs="Times New Roman"/>
          <w:sz w:val="24"/>
          <w:szCs w:val="24"/>
          <w:lang w:val="tr-TR"/>
        </w:rPr>
        <w:t xml:space="preserve">ithal buğdayın kalitesinin izlenmesine yönelik etkili bir sistemin bulunmaması gerekçesiyle </w:t>
      </w:r>
      <w:r w:rsidRPr="003023FC">
        <w:rPr>
          <w:rFonts w:ascii="Times New Roman" w:hAnsi="Times New Roman" w:cs="Times New Roman"/>
          <w:sz w:val="24"/>
          <w:szCs w:val="24"/>
          <w:lang w:val="tr-TR"/>
        </w:rPr>
        <w:t xml:space="preserve">Türkiye’nin </w:t>
      </w:r>
      <w:r w:rsidR="007219E3" w:rsidRPr="003023FC">
        <w:rPr>
          <w:rFonts w:ascii="Times New Roman" w:hAnsi="Times New Roman" w:cs="Times New Roman"/>
          <w:sz w:val="24"/>
          <w:szCs w:val="24"/>
          <w:lang w:val="tr-TR"/>
        </w:rPr>
        <w:t xml:space="preserve">DİR kapsamındaki </w:t>
      </w:r>
      <w:r w:rsidRPr="003023FC">
        <w:rPr>
          <w:rFonts w:ascii="Times New Roman" w:hAnsi="Times New Roman" w:cs="Times New Roman"/>
          <w:sz w:val="24"/>
          <w:szCs w:val="24"/>
          <w:lang w:val="tr-TR"/>
        </w:rPr>
        <w:t>buğday i</w:t>
      </w:r>
      <w:r w:rsidR="007219E3" w:rsidRPr="003023FC">
        <w:rPr>
          <w:rFonts w:ascii="Times New Roman" w:hAnsi="Times New Roman" w:cs="Times New Roman"/>
          <w:sz w:val="24"/>
          <w:szCs w:val="24"/>
          <w:lang w:val="tr-TR"/>
        </w:rPr>
        <w:t>thalatı</w:t>
      </w:r>
      <w:r w:rsidR="002A23F9"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w:t>
      </w:r>
      <w:r w:rsidR="007219E3" w:rsidRPr="003023FC">
        <w:rPr>
          <w:rFonts w:ascii="Times New Roman" w:hAnsi="Times New Roman" w:cs="Times New Roman"/>
          <w:sz w:val="24"/>
          <w:szCs w:val="24"/>
          <w:lang w:val="tr-TR"/>
        </w:rPr>
        <w:t xml:space="preserve">navlun </w:t>
      </w:r>
      <w:r w:rsidR="002A23F9" w:rsidRPr="003023FC">
        <w:rPr>
          <w:rFonts w:ascii="Times New Roman" w:hAnsi="Times New Roman" w:cs="Times New Roman"/>
          <w:sz w:val="24"/>
          <w:szCs w:val="24"/>
          <w:lang w:val="tr-TR"/>
        </w:rPr>
        <w:t>destekleri ve diğer sübvansiyonlar hakkında endişelerini dile getirmektedir.</w:t>
      </w:r>
    </w:p>
    <w:p w14:paraId="1C9F03D5"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Diğer Engeller</w:t>
      </w:r>
    </w:p>
    <w:p w14:paraId="1B62C00C" w14:textId="77777777" w:rsidR="003009A5" w:rsidRPr="003023FC" w:rsidRDefault="002A23F9"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w:t>
      </w:r>
      <w:r w:rsidR="00A41A43" w:rsidRPr="003023FC">
        <w:rPr>
          <w:rFonts w:ascii="Times New Roman" w:hAnsi="Times New Roman" w:cs="Times New Roman"/>
          <w:sz w:val="24"/>
          <w:szCs w:val="24"/>
          <w:lang w:val="tr-TR"/>
        </w:rPr>
        <w:t xml:space="preserve"> </w:t>
      </w:r>
      <w:proofErr w:type="spellStart"/>
      <w:r w:rsidR="00A41A43" w:rsidRPr="003023FC">
        <w:rPr>
          <w:rFonts w:ascii="Times New Roman" w:hAnsi="Times New Roman" w:cs="Times New Roman"/>
          <w:sz w:val="24"/>
          <w:szCs w:val="24"/>
          <w:lang w:val="tr-TR"/>
        </w:rPr>
        <w:t>ayçiçek</w:t>
      </w:r>
      <w:proofErr w:type="spellEnd"/>
      <w:r w:rsidR="00A41A43" w:rsidRPr="003023FC">
        <w:rPr>
          <w:rFonts w:ascii="Times New Roman" w:hAnsi="Times New Roman" w:cs="Times New Roman"/>
          <w:sz w:val="24"/>
          <w:szCs w:val="24"/>
          <w:lang w:val="tr-TR"/>
        </w:rPr>
        <w:t xml:space="preserve"> yağı ihracat</w:t>
      </w:r>
      <w:r w:rsidRPr="003023FC">
        <w:rPr>
          <w:rFonts w:ascii="Times New Roman" w:hAnsi="Times New Roman" w:cs="Times New Roman"/>
          <w:sz w:val="24"/>
          <w:szCs w:val="24"/>
          <w:lang w:val="tr-TR"/>
        </w:rPr>
        <w:t>ı yasaktır</w:t>
      </w:r>
      <w:r w:rsidR="00A41A43" w:rsidRPr="003023FC">
        <w:rPr>
          <w:rFonts w:ascii="Times New Roman" w:hAnsi="Times New Roman" w:cs="Times New Roman"/>
          <w:sz w:val="24"/>
          <w:szCs w:val="24"/>
          <w:lang w:val="tr-TR"/>
        </w:rPr>
        <w:t xml:space="preserve">. </w:t>
      </w:r>
      <w:r w:rsidRPr="003023FC">
        <w:rPr>
          <w:rFonts w:ascii="Times New Roman" w:hAnsi="Times New Roman" w:cs="Times New Roman"/>
          <w:sz w:val="24"/>
          <w:szCs w:val="24"/>
          <w:lang w:val="tr-TR"/>
        </w:rPr>
        <w:t>ABD ve diğer DTÖ üyelerinin bildirimde bulunulması yönündeki taleplerine rağmen, Türkiye bu ihracat yasağını DT</w:t>
      </w:r>
      <w:r w:rsidR="00441538" w:rsidRPr="003023FC">
        <w:rPr>
          <w:rFonts w:ascii="Times New Roman" w:hAnsi="Times New Roman" w:cs="Times New Roman"/>
          <w:sz w:val="24"/>
          <w:szCs w:val="24"/>
          <w:lang w:val="tr-TR"/>
        </w:rPr>
        <w:t>Ö</w:t>
      </w:r>
      <w:r w:rsidRPr="003023FC">
        <w:rPr>
          <w:rFonts w:ascii="Times New Roman" w:hAnsi="Times New Roman" w:cs="Times New Roman"/>
          <w:sz w:val="24"/>
          <w:szCs w:val="24"/>
          <w:lang w:val="tr-TR"/>
        </w:rPr>
        <w:t>’ye hiç bildirmemiştir.</w:t>
      </w:r>
    </w:p>
    <w:p w14:paraId="366E52A5" w14:textId="77777777"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1 Ağustos 2023 tarihi itibarıyla üç ay süreyle zeytinyağı ihracatını yasaklamış ve bu kararı 18 Ekim 2023 tarihinde süresiz olarak uzatmıştır. Ancak, 1 Haziran 2024 tarihinde Ticaret Bakanlığı, dökme ve varilli zeytinyağı ihracatına yönelik yasağı gevşetmiş ve 1 Kasım 2024 tarihine kadar 50.000 ton dökme ve varilli zeytinyağı ihracatına izin vermiştir.</w:t>
      </w:r>
    </w:p>
    <w:p w14:paraId="416545F4" w14:textId="77777777"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25 Mayıs 2021 tarihinde ise, Ticaret Bakanlığı tarafından yayımlanan bir tebliğ ile pamuk ihracatına kayıt zorunluluğu getirilmiştir. Bu kayıt zorunluluğunun amacı, organik pamuk ihracatını azaltmak ve organik pamuğun yurt içinde daha yüksek katma değerli tekstil ve konfeksiyon ürünlerine dönüştürülerek ihraç edilmesini teşvik etmektir.</w:t>
      </w:r>
    </w:p>
    <w:p w14:paraId="65397C74" w14:textId="77777777"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2017’den bu yana Türkiye, ilaç geri ödeme sisteminde döviz kurunu düşük tutarak yeni nesil ilaçların piyasaya girişini fiilen sınırlamaktadır. ABD’li firmalar, fiyatlandırmada kullanılan resmi kurun piyasa gerçeklerinden uzak olduğunu ve bu nedenle ürünlerini pazarlamada ciddi zorluk yaşadıklarını belirtmektedir. Ayrıca, yaklaşık 200</w:t>
      </w:r>
      <w:r w:rsidR="005A40D7" w:rsidRPr="003023FC">
        <w:rPr>
          <w:rFonts w:ascii="Times New Roman" w:hAnsi="Times New Roman" w:cs="Times New Roman"/>
          <w:sz w:val="24"/>
          <w:szCs w:val="24"/>
          <w:lang w:val="tr-TR"/>
        </w:rPr>
        <w:t xml:space="preserve"> ilaçta geri ödeme</w:t>
      </w:r>
      <w:r w:rsidRPr="003023FC">
        <w:rPr>
          <w:rFonts w:ascii="Times New Roman" w:hAnsi="Times New Roman" w:cs="Times New Roman"/>
          <w:sz w:val="24"/>
          <w:szCs w:val="24"/>
          <w:lang w:val="tr-TR"/>
        </w:rPr>
        <w:t xml:space="preserve">, sadece Türkiye’de </w:t>
      </w:r>
      <w:r w:rsidR="005A40D7" w:rsidRPr="003023FC">
        <w:rPr>
          <w:rFonts w:ascii="Times New Roman" w:hAnsi="Times New Roman" w:cs="Times New Roman"/>
          <w:sz w:val="24"/>
          <w:szCs w:val="24"/>
          <w:lang w:val="tr-TR"/>
        </w:rPr>
        <w:t>üretilen ürünlere sağlanmaktadır.</w:t>
      </w:r>
      <w:r w:rsidR="005A40D7" w:rsidRPr="003023FC">
        <w:rPr>
          <w:lang w:val="tr-TR"/>
        </w:rPr>
        <w:t xml:space="preserve"> </w:t>
      </w:r>
      <w:r w:rsidR="005A40D7" w:rsidRPr="003023FC">
        <w:rPr>
          <w:rFonts w:ascii="Times New Roman" w:hAnsi="Times New Roman" w:cs="Times New Roman"/>
          <w:sz w:val="24"/>
          <w:szCs w:val="24"/>
          <w:lang w:val="tr-TR"/>
        </w:rPr>
        <w:t>Türkiye'de satılan ilaçların büyük çoğunluğu geri ödeme sistemi kapsamında olduğundan, bu uygulama ABD’li firmaların yerli üretim şartını karşılamayan ürünlerini pazara sunmalarını ciddi şekilde zorlaştırmaktadır.</w:t>
      </w:r>
    </w:p>
    <w:p w14:paraId="69684DAC" w14:textId="77777777"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tıbbi cihaz ve ilaç firmaları, Türkiye’de kamu hastanelerinden alacaklarının zamanında ödenmemesi nedeniyle uzun süredir sorun yaşadıklarını belirtmektedir. Devlet Malzeme Ofisi (DMO) aracılığıyla yapılan kamu alımlarında ödemelerin 90 gün içinde gerçekleştiği ve bu alanda iyileşme sağlandığı bildirilmektedir. Ancak, üniversite hastaneler</w:t>
      </w:r>
      <w:r w:rsidR="005A40D7" w:rsidRPr="003023FC">
        <w:rPr>
          <w:rFonts w:ascii="Times New Roman" w:hAnsi="Times New Roman" w:cs="Times New Roman"/>
          <w:sz w:val="24"/>
          <w:szCs w:val="24"/>
          <w:lang w:val="tr-TR"/>
        </w:rPr>
        <w:t>inin doğrudan yaptığı alımlarda</w:t>
      </w:r>
      <w:r w:rsidRPr="003023FC">
        <w:rPr>
          <w:rFonts w:ascii="Times New Roman" w:hAnsi="Times New Roman" w:cs="Times New Roman"/>
          <w:sz w:val="24"/>
          <w:szCs w:val="24"/>
          <w:lang w:val="tr-TR"/>
        </w:rPr>
        <w:t xml:space="preserve"> 12 ayı aşan </w:t>
      </w:r>
      <w:r w:rsidR="005A40D7" w:rsidRPr="003023FC">
        <w:rPr>
          <w:rFonts w:ascii="Times New Roman" w:hAnsi="Times New Roman" w:cs="Times New Roman"/>
          <w:sz w:val="24"/>
          <w:szCs w:val="24"/>
          <w:lang w:val="tr-TR"/>
        </w:rPr>
        <w:t>gecikmelerin olduğu belirtilmektedir.</w:t>
      </w:r>
    </w:p>
    <w:p w14:paraId="6178B006" w14:textId="77777777" w:rsidR="00441538" w:rsidRPr="003023FC" w:rsidRDefault="00A41A43"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
      </w:r>
    </w:p>
    <w:p w14:paraId="6E05CFA3" w14:textId="77777777" w:rsidR="005A40D7" w:rsidRPr="003023FC" w:rsidRDefault="005A40D7" w:rsidP="00441538">
      <w:pPr>
        <w:spacing w:beforeLines="120" w:before="288" w:afterLines="120" w:after="288" w:line="23" w:lineRule="atLeast"/>
        <w:ind w:firstLine="720"/>
        <w:jc w:val="both"/>
        <w:rPr>
          <w:rFonts w:ascii="Times New Roman" w:hAnsi="Times New Roman" w:cs="Times New Roman"/>
          <w:sz w:val="24"/>
          <w:szCs w:val="24"/>
          <w:lang w:val="tr-TR"/>
        </w:rPr>
      </w:pPr>
    </w:p>
    <w:sectPr w:rsidR="005A40D7" w:rsidRPr="00302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B2"/>
    <w:rsid w:val="001029CE"/>
    <w:rsid w:val="0012102F"/>
    <w:rsid w:val="001244D7"/>
    <w:rsid w:val="001C257C"/>
    <w:rsid w:val="001E5400"/>
    <w:rsid w:val="001F4ED8"/>
    <w:rsid w:val="002A23F9"/>
    <w:rsid w:val="002C4B38"/>
    <w:rsid w:val="002D68B2"/>
    <w:rsid w:val="003009A5"/>
    <w:rsid w:val="003023FC"/>
    <w:rsid w:val="00310F3F"/>
    <w:rsid w:val="00441538"/>
    <w:rsid w:val="00515E2C"/>
    <w:rsid w:val="0052295B"/>
    <w:rsid w:val="005329EF"/>
    <w:rsid w:val="005A40D7"/>
    <w:rsid w:val="00645370"/>
    <w:rsid w:val="006837E6"/>
    <w:rsid w:val="006E1F10"/>
    <w:rsid w:val="007219E3"/>
    <w:rsid w:val="00727C19"/>
    <w:rsid w:val="007A14EF"/>
    <w:rsid w:val="008362D3"/>
    <w:rsid w:val="008C0ED0"/>
    <w:rsid w:val="008C6EC4"/>
    <w:rsid w:val="008F4FAA"/>
    <w:rsid w:val="00990184"/>
    <w:rsid w:val="00A41A43"/>
    <w:rsid w:val="00C6311E"/>
    <w:rsid w:val="00C63AF7"/>
    <w:rsid w:val="00C92055"/>
    <w:rsid w:val="00CB02BA"/>
    <w:rsid w:val="00CC0846"/>
    <w:rsid w:val="00DB3B02"/>
    <w:rsid w:val="00DC7091"/>
    <w:rsid w:val="00DD3EDB"/>
    <w:rsid w:val="00E3170C"/>
    <w:rsid w:val="00E76396"/>
    <w:rsid w:val="00ED1021"/>
    <w:rsid w:val="00F0070A"/>
    <w:rsid w:val="00F10B05"/>
    <w:rsid w:val="00F6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FFA9"/>
  <w15:chartTrackingRefBased/>
  <w15:docId w15:val="{BF4488EA-90E7-4A03-8E74-1956720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3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123">
      <w:bodyDiv w:val="1"/>
      <w:marLeft w:val="0"/>
      <w:marRight w:val="0"/>
      <w:marTop w:val="0"/>
      <w:marBottom w:val="0"/>
      <w:divBdr>
        <w:top w:val="none" w:sz="0" w:space="0" w:color="auto"/>
        <w:left w:val="none" w:sz="0" w:space="0" w:color="auto"/>
        <w:bottom w:val="none" w:sz="0" w:space="0" w:color="auto"/>
        <w:right w:val="none" w:sz="0" w:space="0" w:color="auto"/>
      </w:divBdr>
    </w:div>
    <w:div w:id="247618842">
      <w:bodyDiv w:val="1"/>
      <w:marLeft w:val="0"/>
      <w:marRight w:val="0"/>
      <w:marTop w:val="0"/>
      <w:marBottom w:val="0"/>
      <w:divBdr>
        <w:top w:val="none" w:sz="0" w:space="0" w:color="auto"/>
        <w:left w:val="none" w:sz="0" w:space="0" w:color="auto"/>
        <w:bottom w:val="none" w:sz="0" w:space="0" w:color="auto"/>
        <w:right w:val="none" w:sz="0" w:space="0" w:color="auto"/>
      </w:divBdr>
    </w:div>
    <w:div w:id="263458953">
      <w:bodyDiv w:val="1"/>
      <w:marLeft w:val="0"/>
      <w:marRight w:val="0"/>
      <w:marTop w:val="0"/>
      <w:marBottom w:val="0"/>
      <w:divBdr>
        <w:top w:val="none" w:sz="0" w:space="0" w:color="auto"/>
        <w:left w:val="none" w:sz="0" w:space="0" w:color="auto"/>
        <w:bottom w:val="none" w:sz="0" w:space="0" w:color="auto"/>
        <w:right w:val="none" w:sz="0" w:space="0" w:color="auto"/>
      </w:divBdr>
    </w:div>
    <w:div w:id="316808306">
      <w:bodyDiv w:val="1"/>
      <w:marLeft w:val="0"/>
      <w:marRight w:val="0"/>
      <w:marTop w:val="0"/>
      <w:marBottom w:val="0"/>
      <w:divBdr>
        <w:top w:val="none" w:sz="0" w:space="0" w:color="auto"/>
        <w:left w:val="none" w:sz="0" w:space="0" w:color="auto"/>
        <w:bottom w:val="none" w:sz="0" w:space="0" w:color="auto"/>
        <w:right w:val="none" w:sz="0" w:space="0" w:color="auto"/>
      </w:divBdr>
    </w:div>
    <w:div w:id="334500381">
      <w:bodyDiv w:val="1"/>
      <w:marLeft w:val="0"/>
      <w:marRight w:val="0"/>
      <w:marTop w:val="0"/>
      <w:marBottom w:val="0"/>
      <w:divBdr>
        <w:top w:val="none" w:sz="0" w:space="0" w:color="auto"/>
        <w:left w:val="none" w:sz="0" w:space="0" w:color="auto"/>
        <w:bottom w:val="none" w:sz="0" w:space="0" w:color="auto"/>
        <w:right w:val="none" w:sz="0" w:space="0" w:color="auto"/>
      </w:divBdr>
    </w:div>
    <w:div w:id="538855026">
      <w:bodyDiv w:val="1"/>
      <w:marLeft w:val="0"/>
      <w:marRight w:val="0"/>
      <w:marTop w:val="0"/>
      <w:marBottom w:val="0"/>
      <w:divBdr>
        <w:top w:val="none" w:sz="0" w:space="0" w:color="auto"/>
        <w:left w:val="none" w:sz="0" w:space="0" w:color="auto"/>
        <w:bottom w:val="none" w:sz="0" w:space="0" w:color="auto"/>
        <w:right w:val="none" w:sz="0" w:space="0" w:color="auto"/>
      </w:divBdr>
    </w:div>
    <w:div w:id="555555119">
      <w:bodyDiv w:val="1"/>
      <w:marLeft w:val="0"/>
      <w:marRight w:val="0"/>
      <w:marTop w:val="0"/>
      <w:marBottom w:val="0"/>
      <w:divBdr>
        <w:top w:val="none" w:sz="0" w:space="0" w:color="auto"/>
        <w:left w:val="none" w:sz="0" w:space="0" w:color="auto"/>
        <w:bottom w:val="none" w:sz="0" w:space="0" w:color="auto"/>
        <w:right w:val="none" w:sz="0" w:space="0" w:color="auto"/>
      </w:divBdr>
    </w:div>
    <w:div w:id="604072676">
      <w:bodyDiv w:val="1"/>
      <w:marLeft w:val="0"/>
      <w:marRight w:val="0"/>
      <w:marTop w:val="0"/>
      <w:marBottom w:val="0"/>
      <w:divBdr>
        <w:top w:val="none" w:sz="0" w:space="0" w:color="auto"/>
        <w:left w:val="none" w:sz="0" w:space="0" w:color="auto"/>
        <w:bottom w:val="none" w:sz="0" w:space="0" w:color="auto"/>
        <w:right w:val="none" w:sz="0" w:space="0" w:color="auto"/>
      </w:divBdr>
    </w:div>
    <w:div w:id="6538777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741">
          <w:marLeft w:val="0"/>
          <w:marRight w:val="0"/>
          <w:marTop w:val="0"/>
          <w:marBottom w:val="0"/>
          <w:divBdr>
            <w:top w:val="none" w:sz="0" w:space="0" w:color="auto"/>
            <w:left w:val="none" w:sz="0" w:space="0" w:color="auto"/>
            <w:bottom w:val="none" w:sz="0" w:space="0" w:color="auto"/>
            <w:right w:val="none" w:sz="0" w:space="0" w:color="auto"/>
          </w:divBdr>
          <w:divsChild>
            <w:div w:id="767114500">
              <w:marLeft w:val="0"/>
              <w:marRight w:val="0"/>
              <w:marTop w:val="0"/>
              <w:marBottom w:val="0"/>
              <w:divBdr>
                <w:top w:val="none" w:sz="0" w:space="0" w:color="auto"/>
                <w:left w:val="none" w:sz="0" w:space="0" w:color="auto"/>
                <w:bottom w:val="none" w:sz="0" w:space="0" w:color="auto"/>
                <w:right w:val="none" w:sz="0" w:space="0" w:color="auto"/>
              </w:divBdr>
              <w:divsChild>
                <w:div w:id="402412134">
                  <w:marLeft w:val="0"/>
                  <w:marRight w:val="0"/>
                  <w:marTop w:val="0"/>
                  <w:marBottom w:val="0"/>
                  <w:divBdr>
                    <w:top w:val="none" w:sz="0" w:space="0" w:color="auto"/>
                    <w:left w:val="none" w:sz="0" w:space="0" w:color="auto"/>
                    <w:bottom w:val="none" w:sz="0" w:space="0" w:color="auto"/>
                    <w:right w:val="none" w:sz="0" w:space="0" w:color="auto"/>
                  </w:divBdr>
                  <w:divsChild>
                    <w:div w:id="2053531062">
                      <w:marLeft w:val="0"/>
                      <w:marRight w:val="0"/>
                      <w:marTop w:val="0"/>
                      <w:marBottom w:val="0"/>
                      <w:divBdr>
                        <w:top w:val="none" w:sz="0" w:space="0" w:color="auto"/>
                        <w:left w:val="none" w:sz="0" w:space="0" w:color="auto"/>
                        <w:bottom w:val="none" w:sz="0" w:space="0" w:color="auto"/>
                        <w:right w:val="none" w:sz="0" w:space="0" w:color="auto"/>
                      </w:divBdr>
                      <w:divsChild>
                        <w:div w:id="1500997528">
                          <w:marLeft w:val="0"/>
                          <w:marRight w:val="0"/>
                          <w:marTop w:val="0"/>
                          <w:marBottom w:val="0"/>
                          <w:divBdr>
                            <w:top w:val="none" w:sz="0" w:space="0" w:color="auto"/>
                            <w:left w:val="none" w:sz="0" w:space="0" w:color="auto"/>
                            <w:bottom w:val="none" w:sz="0" w:space="0" w:color="auto"/>
                            <w:right w:val="none" w:sz="0" w:space="0" w:color="auto"/>
                          </w:divBdr>
                          <w:divsChild>
                            <w:div w:id="300037216">
                              <w:marLeft w:val="0"/>
                              <w:marRight w:val="0"/>
                              <w:marTop w:val="0"/>
                              <w:marBottom w:val="0"/>
                              <w:divBdr>
                                <w:top w:val="none" w:sz="0" w:space="0" w:color="auto"/>
                                <w:left w:val="none" w:sz="0" w:space="0" w:color="auto"/>
                                <w:bottom w:val="none" w:sz="0" w:space="0" w:color="auto"/>
                                <w:right w:val="none" w:sz="0" w:space="0" w:color="auto"/>
                              </w:divBdr>
                              <w:divsChild>
                                <w:div w:id="1394691982">
                                  <w:marLeft w:val="0"/>
                                  <w:marRight w:val="0"/>
                                  <w:marTop w:val="0"/>
                                  <w:marBottom w:val="0"/>
                                  <w:divBdr>
                                    <w:top w:val="none" w:sz="0" w:space="0" w:color="auto"/>
                                    <w:left w:val="none" w:sz="0" w:space="0" w:color="auto"/>
                                    <w:bottom w:val="none" w:sz="0" w:space="0" w:color="auto"/>
                                    <w:right w:val="none" w:sz="0" w:space="0" w:color="auto"/>
                                  </w:divBdr>
                                  <w:divsChild>
                                    <w:div w:id="16862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2759">
                          <w:marLeft w:val="0"/>
                          <w:marRight w:val="0"/>
                          <w:marTop w:val="0"/>
                          <w:marBottom w:val="0"/>
                          <w:divBdr>
                            <w:top w:val="none" w:sz="0" w:space="0" w:color="auto"/>
                            <w:left w:val="none" w:sz="0" w:space="0" w:color="auto"/>
                            <w:bottom w:val="none" w:sz="0" w:space="0" w:color="auto"/>
                            <w:right w:val="none" w:sz="0" w:space="0" w:color="auto"/>
                          </w:divBdr>
                          <w:divsChild>
                            <w:div w:id="1551650396">
                              <w:marLeft w:val="0"/>
                              <w:marRight w:val="0"/>
                              <w:marTop w:val="0"/>
                              <w:marBottom w:val="0"/>
                              <w:divBdr>
                                <w:top w:val="none" w:sz="0" w:space="0" w:color="auto"/>
                                <w:left w:val="none" w:sz="0" w:space="0" w:color="auto"/>
                                <w:bottom w:val="none" w:sz="0" w:space="0" w:color="auto"/>
                                <w:right w:val="none" w:sz="0" w:space="0" w:color="auto"/>
                              </w:divBdr>
                              <w:divsChild>
                                <w:div w:id="1585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43649">
      <w:bodyDiv w:val="1"/>
      <w:marLeft w:val="0"/>
      <w:marRight w:val="0"/>
      <w:marTop w:val="0"/>
      <w:marBottom w:val="0"/>
      <w:divBdr>
        <w:top w:val="none" w:sz="0" w:space="0" w:color="auto"/>
        <w:left w:val="none" w:sz="0" w:space="0" w:color="auto"/>
        <w:bottom w:val="none" w:sz="0" w:space="0" w:color="auto"/>
        <w:right w:val="none" w:sz="0" w:space="0" w:color="auto"/>
      </w:divBdr>
    </w:div>
    <w:div w:id="695010711">
      <w:bodyDiv w:val="1"/>
      <w:marLeft w:val="0"/>
      <w:marRight w:val="0"/>
      <w:marTop w:val="0"/>
      <w:marBottom w:val="0"/>
      <w:divBdr>
        <w:top w:val="none" w:sz="0" w:space="0" w:color="auto"/>
        <w:left w:val="none" w:sz="0" w:space="0" w:color="auto"/>
        <w:bottom w:val="none" w:sz="0" w:space="0" w:color="auto"/>
        <w:right w:val="none" w:sz="0" w:space="0" w:color="auto"/>
      </w:divBdr>
    </w:div>
    <w:div w:id="851187117">
      <w:bodyDiv w:val="1"/>
      <w:marLeft w:val="0"/>
      <w:marRight w:val="0"/>
      <w:marTop w:val="0"/>
      <w:marBottom w:val="0"/>
      <w:divBdr>
        <w:top w:val="none" w:sz="0" w:space="0" w:color="auto"/>
        <w:left w:val="none" w:sz="0" w:space="0" w:color="auto"/>
        <w:bottom w:val="none" w:sz="0" w:space="0" w:color="auto"/>
        <w:right w:val="none" w:sz="0" w:space="0" w:color="auto"/>
      </w:divBdr>
    </w:div>
    <w:div w:id="931429773">
      <w:bodyDiv w:val="1"/>
      <w:marLeft w:val="0"/>
      <w:marRight w:val="0"/>
      <w:marTop w:val="0"/>
      <w:marBottom w:val="0"/>
      <w:divBdr>
        <w:top w:val="none" w:sz="0" w:space="0" w:color="auto"/>
        <w:left w:val="none" w:sz="0" w:space="0" w:color="auto"/>
        <w:bottom w:val="none" w:sz="0" w:space="0" w:color="auto"/>
        <w:right w:val="none" w:sz="0" w:space="0" w:color="auto"/>
      </w:divBdr>
    </w:div>
    <w:div w:id="942305673">
      <w:bodyDiv w:val="1"/>
      <w:marLeft w:val="0"/>
      <w:marRight w:val="0"/>
      <w:marTop w:val="0"/>
      <w:marBottom w:val="0"/>
      <w:divBdr>
        <w:top w:val="none" w:sz="0" w:space="0" w:color="auto"/>
        <w:left w:val="none" w:sz="0" w:space="0" w:color="auto"/>
        <w:bottom w:val="none" w:sz="0" w:space="0" w:color="auto"/>
        <w:right w:val="none" w:sz="0" w:space="0" w:color="auto"/>
      </w:divBdr>
    </w:div>
    <w:div w:id="1149323237">
      <w:bodyDiv w:val="1"/>
      <w:marLeft w:val="0"/>
      <w:marRight w:val="0"/>
      <w:marTop w:val="0"/>
      <w:marBottom w:val="0"/>
      <w:divBdr>
        <w:top w:val="none" w:sz="0" w:space="0" w:color="auto"/>
        <w:left w:val="none" w:sz="0" w:space="0" w:color="auto"/>
        <w:bottom w:val="none" w:sz="0" w:space="0" w:color="auto"/>
        <w:right w:val="none" w:sz="0" w:space="0" w:color="auto"/>
      </w:divBdr>
    </w:div>
    <w:div w:id="1249652037">
      <w:bodyDiv w:val="1"/>
      <w:marLeft w:val="0"/>
      <w:marRight w:val="0"/>
      <w:marTop w:val="0"/>
      <w:marBottom w:val="0"/>
      <w:divBdr>
        <w:top w:val="none" w:sz="0" w:space="0" w:color="auto"/>
        <w:left w:val="none" w:sz="0" w:space="0" w:color="auto"/>
        <w:bottom w:val="none" w:sz="0" w:space="0" w:color="auto"/>
        <w:right w:val="none" w:sz="0" w:space="0" w:color="auto"/>
      </w:divBdr>
    </w:div>
    <w:div w:id="1482192122">
      <w:bodyDiv w:val="1"/>
      <w:marLeft w:val="0"/>
      <w:marRight w:val="0"/>
      <w:marTop w:val="0"/>
      <w:marBottom w:val="0"/>
      <w:divBdr>
        <w:top w:val="none" w:sz="0" w:space="0" w:color="auto"/>
        <w:left w:val="none" w:sz="0" w:space="0" w:color="auto"/>
        <w:bottom w:val="none" w:sz="0" w:space="0" w:color="auto"/>
        <w:right w:val="none" w:sz="0" w:space="0" w:color="auto"/>
      </w:divBdr>
    </w:div>
    <w:div w:id="1540702932">
      <w:bodyDiv w:val="1"/>
      <w:marLeft w:val="0"/>
      <w:marRight w:val="0"/>
      <w:marTop w:val="0"/>
      <w:marBottom w:val="0"/>
      <w:divBdr>
        <w:top w:val="none" w:sz="0" w:space="0" w:color="auto"/>
        <w:left w:val="none" w:sz="0" w:space="0" w:color="auto"/>
        <w:bottom w:val="none" w:sz="0" w:space="0" w:color="auto"/>
        <w:right w:val="none" w:sz="0" w:space="0" w:color="auto"/>
      </w:divBdr>
    </w:div>
    <w:div w:id="1740013002">
      <w:bodyDiv w:val="1"/>
      <w:marLeft w:val="0"/>
      <w:marRight w:val="0"/>
      <w:marTop w:val="0"/>
      <w:marBottom w:val="0"/>
      <w:divBdr>
        <w:top w:val="none" w:sz="0" w:space="0" w:color="auto"/>
        <w:left w:val="none" w:sz="0" w:space="0" w:color="auto"/>
        <w:bottom w:val="none" w:sz="0" w:space="0" w:color="auto"/>
        <w:right w:val="none" w:sz="0" w:space="0" w:color="auto"/>
      </w:divBdr>
    </w:div>
    <w:div w:id="1774744534">
      <w:bodyDiv w:val="1"/>
      <w:marLeft w:val="0"/>
      <w:marRight w:val="0"/>
      <w:marTop w:val="0"/>
      <w:marBottom w:val="0"/>
      <w:divBdr>
        <w:top w:val="none" w:sz="0" w:space="0" w:color="auto"/>
        <w:left w:val="none" w:sz="0" w:space="0" w:color="auto"/>
        <w:bottom w:val="none" w:sz="0" w:space="0" w:color="auto"/>
        <w:right w:val="none" w:sz="0" w:space="0" w:color="auto"/>
      </w:divBdr>
    </w:div>
    <w:div w:id="1823618678">
      <w:bodyDiv w:val="1"/>
      <w:marLeft w:val="0"/>
      <w:marRight w:val="0"/>
      <w:marTop w:val="0"/>
      <w:marBottom w:val="0"/>
      <w:divBdr>
        <w:top w:val="none" w:sz="0" w:space="0" w:color="auto"/>
        <w:left w:val="none" w:sz="0" w:space="0" w:color="auto"/>
        <w:bottom w:val="none" w:sz="0" w:space="0" w:color="auto"/>
        <w:right w:val="none" w:sz="0" w:space="0" w:color="auto"/>
      </w:divBdr>
    </w:div>
    <w:div w:id="1920097338">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3074</Words>
  <Characters>17527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Arici</dc:creator>
  <cp:keywords/>
  <dc:description/>
  <cp:lastModifiedBy>Harika Okur</cp:lastModifiedBy>
  <cp:revision>2</cp:revision>
  <dcterms:created xsi:type="dcterms:W3CDTF">2025-04-18T06:08:00Z</dcterms:created>
  <dcterms:modified xsi:type="dcterms:W3CDTF">2025-04-18T06:08:00Z</dcterms:modified>
</cp:coreProperties>
</file>